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C89" w:rsidRPr="004A0DD7" w:rsidRDefault="00FA4FDF" w:rsidP="00D33360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575C89"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C30E06" w:rsidRPr="004A0DD7" w:rsidRDefault="00C30E06" w:rsidP="00D33360">
      <w:pPr>
        <w:bidi/>
        <w:jc w:val="both"/>
        <w:rPr>
          <w:rFonts w:ascii="IRBadr" w:hAnsi="IRBadr" w:cs="IRBadr"/>
          <w:noProof/>
        </w:rPr>
      </w:pP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4A0DD7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4A0DD7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4A0DD7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C30E06" w:rsidRPr="004A0DD7" w:rsidRDefault="00BE518A" w:rsidP="00D3336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172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حکم تقاذف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_Toc427448172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2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173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_Toc427448173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2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174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مروری بر مستند قواعد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_Toc427448174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3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448175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فرض اختلاف قذف ها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_Toc427448175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3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76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تقاذف متصل و منفصل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_Toc427448176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3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77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_Toc427448177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4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78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اثرات تالی حقوق الناس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_Toc427448178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4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79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قابلیت انتقال در حقوق الناس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_Toc427448179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4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0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 xml:space="preserve">فرض </w:t>
        </w:r>
        <w:r w:rsidR="004A0DD7">
          <w:rPr>
            <w:rStyle w:val="Hyperlink"/>
            <w:rFonts w:ascii="IRBadr" w:hAnsi="IRBadr" w:cs="IRBadr"/>
            <w:noProof/>
            <w:rtl/>
          </w:rPr>
          <w:t>استیفا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_Toc427448180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5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1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عینیت در وراثت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_Toc427448181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5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2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تفاوت ارث قذف با مال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_Toc427448182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5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3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روایات داله بر ثبوت اصل قذف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_Toc427448183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5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4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جمع‌بندی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_Toc427448184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6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5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استقلال در وراثت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_Toc427448185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6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6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روایت اول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_Toc427448186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6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7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_Toc427448187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7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8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روایت معارض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_Toc427448188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7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89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جواب اول از شبهه فوق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_Toc427448189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7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90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_Toc427448190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8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91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جواب دوم از شبهه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_Toc427448191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8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92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_Toc427448192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8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BE518A" w:rsidP="00D33360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448193" w:history="1">
        <w:r w:rsidR="00C30E06" w:rsidRPr="004A0DD7">
          <w:rPr>
            <w:rStyle w:val="Hyperlink"/>
            <w:rFonts w:ascii="IRBadr" w:hAnsi="IRBadr" w:cs="IRBadr"/>
            <w:noProof/>
            <w:rtl/>
          </w:rPr>
          <w:t>قابلیت معامله</w:t>
        </w:r>
        <w:r w:rsidR="00C30E06" w:rsidRPr="004A0DD7">
          <w:rPr>
            <w:rFonts w:ascii="IRBadr" w:hAnsi="IRBadr" w:cs="IRBadr"/>
            <w:noProof/>
            <w:webHidden/>
          </w:rPr>
          <w:tab/>
        </w:r>
        <w:r w:rsidR="00C30E06" w:rsidRPr="004A0DD7">
          <w:rPr>
            <w:rFonts w:ascii="IRBadr" w:hAnsi="IRBadr" w:cs="IRBadr"/>
            <w:noProof/>
            <w:webHidden/>
          </w:rPr>
          <w:fldChar w:fldCharType="begin"/>
        </w:r>
        <w:r w:rsidR="00C30E06" w:rsidRPr="004A0DD7">
          <w:rPr>
            <w:rFonts w:ascii="IRBadr" w:hAnsi="IRBadr" w:cs="IRBadr"/>
            <w:noProof/>
            <w:webHidden/>
          </w:rPr>
          <w:instrText xml:space="preserve"> PAGEREF _Toc427448193 \h </w:instrText>
        </w:r>
        <w:r w:rsidR="00C30E06" w:rsidRPr="004A0DD7">
          <w:rPr>
            <w:rFonts w:ascii="IRBadr" w:hAnsi="IRBadr" w:cs="IRBadr"/>
            <w:noProof/>
            <w:webHidden/>
          </w:rPr>
        </w:r>
        <w:r w:rsidR="00C30E06" w:rsidRPr="004A0DD7">
          <w:rPr>
            <w:rFonts w:ascii="IRBadr" w:hAnsi="IRBadr" w:cs="IRBadr"/>
            <w:noProof/>
            <w:webHidden/>
          </w:rPr>
          <w:fldChar w:fldCharType="separate"/>
        </w:r>
        <w:r w:rsidR="00C30E06" w:rsidRPr="004A0DD7">
          <w:rPr>
            <w:rFonts w:ascii="IRBadr" w:hAnsi="IRBadr" w:cs="IRBadr"/>
            <w:noProof/>
            <w:webHidden/>
          </w:rPr>
          <w:t>8</w:t>
        </w:r>
        <w:r w:rsidR="00C30E06" w:rsidRPr="004A0DD7">
          <w:rPr>
            <w:rFonts w:ascii="IRBadr" w:hAnsi="IRBadr" w:cs="IRBadr"/>
            <w:noProof/>
            <w:webHidden/>
          </w:rPr>
          <w:fldChar w:fldCharType="end"/>
        </w:r>
      </w:hyperlink>
    </w:p>
    <w:p w:rsidR="00C30E06" w:rsidRPr="004A0DD7" w:rsidRDefault="00C30E06" w:rsidP="00D33360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4A0DD7" w:rsidRPr="004A0DD7" w:rsidRDefault="004A0DD7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448172"/>
      <w:r w:rsidRPr="004A0DD7">
        <w:rPr>
          <w:rFonts w:ascii="IRBadr" w:hAnsi="IRBadr" w:cs="IRBadr"/>
          <w:rtl/>
        </w:rPr>
        <w:br w:type="page"/>
      </w:r>
    </w:p>
    <w:p w:rsidR="00A667F2" w:rsidRPr="004A0DD7" w:rsidRDefault="00A667F2" w:rsidP="00D33360">
      <w:pPr>
        <w:pStyle w:val="Heading1"/>
        <w:rPr>
          <w:rFonts w:ascii="IRBadr" w:hAnsi="IRBadr" w:cs="IRBadr"/>
          <w:rtl/>
        </w:rPr>
      </w:pPr>
      <w:r w:rsidRPr="004A0DD7">
        <w:rPr>
          <w:rFonts w:ascii="IRBadr" w:hAnsi="IRBadr" w:cs="IRBadr"/>
          <w:rtl/>
        </w:rPr>
        <w:lastRenderedPageBreak/>
        <w:t>حکم تقاذف</w:t>
      </w:r>
      <w:bookmarkEnd w:id="0"/>
    </w:p>
    <w:p w:rsidR="00A667F2" w:rsidRPr="004A0DD7" w:rsidRDefault="00A667F2" w:rsidP="00D33360">
      <w:pPr>
        <w:pStyle w:val="Heading1"/>
        <w:rPr>
          <w:rFonts w:ascii="IRBadr" w:hAnsi="IRBadr" w:cs="IRBadr"/>
          <w:rtl/>
        </w:rPr>
      </w:pPr>
      <w:bookmarkStart w:id="1" w:name="_Toc427448173"/>
      <w:r w:rsidRPr="004A0DD7">
        <w:rPr>
          <w:rFonts w:ascii="IRBadr" w:hAnsi="IRBadr" w:cs="IRBadr"/>
          <w:rtl/>
        </w:rPr>
        <w:t>مرور بحث پیشین</w:t>
      </w:r>
      <w:bookmarkEnd w:id="1"/>
    </w:p>
    <w:p w:rsidR="00A667F2" w:rsidRPr="004A0DD7" w:rsidRDefault="00A667F2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گفته شد که؛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اقتضای قاعده این بود که هر یک از متقاذفین مصداق حد هستند، ثانیاً قاعده این است که اگر حدها ساقط می‌شود، دیگر تعزیری ثابت نیست.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که قبلاً عرض کردیم.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این قاعده در دو روایت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بود که مبنای عمل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بود.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دو حکم در میان خاصه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عامه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مبتلابه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اختلاف آراء نیست.</w:t>
      </w:r>
    </w:p>
    <w:p w:rsidR="00BE7C7E" w:rsidRPr="004A0DD7" w:rsidRDefault="00FA4FDF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که بیان شد،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>این دو حکم عبارت است از اینکه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>در مورد تقاذف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، حد از کلیهما ساقط می‌شود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و بر هر دو تعزیر ثابت 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گردد.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این دو حکم برخلاف قاعده است. 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اولاً هر دو مصداق دلیل قذف هستند،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باید بگوییم هر دو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حد بخورند. 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ولی با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>دلیل حدها ساقط می‌شود. ثانیاً بعد از سقوط حد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تعزیر 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هم ساقط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.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در روایات باز برخلاف این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تعزیر ثابت می‌شود. این حکم که برخلاف قواعد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است، من جهتین مورد اتفاق فقها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>ست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667F2" w:rsidRPr="004A0DD7" w:rsidRDefault="00A667F2" w:rsidP="00D33360">
      <w:pPr>
        <w:pStyle w:val="Heading1"/>
        <w:rPr>
          <w:rFonts w:ascii="IRBadr" w:hAnsi="IRBadr" w:cs="IRBadr"/>
          <w:szCs w:val="28"/>
          <w:rtl/>
        </w:rPr>
      </w:pPr>
      <w:bookmarkStart w:id="2" w:name="_Toc427448174"/>
      <w:r w:rsidRPr="004A0DD7">
        <w:rPr>
          <w:rFonts w:ascii="IRBadr" w:hAnsi="IRBadr" w:cs="IRBadr"/>
          <w:rtl/>
        </w:rPr>
        <w:t>مروری بر مستند قواعد</w:t>
      </w:r>
      <w:bookmarkEnd w:id="2"/>
    </w:p>
    <w:p w:rsidR="00A667F2" w:rsidRPr="004A0DD7" w:rsidRDefault="00A667F2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دلیل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حکم‌ها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دو روایتی است که ذکر شد.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بن سنان و معتبره ابی حنان که گفتیم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بن سنان اشکالی در توثیقش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است، اما معتبره ابی حنان در آن اشکالی نیست.</w:t>
      </w:r>
    </w:p>
    <w:p w:rsidR="00A667F2" w:rsidRPr="004A0DD7" w:rsidRDefault="004A0DD7" w:rsidP="00D33360">
      <w:pPr>
        <w:pStyle w:val="Heading2"/>
        <w:rPr>
          <w:rFonts w:ascii="IRBadr" w:hAnsi="IRBadr" w:cs="IRBadr"/>
          <w:rtl/>
        </w:rPr>
      </w:pPr>
      <w:bookmarkStart w:id="3" w:name="_Toc427448175"/>
      <w:r>
        <w:rPr>
          <w:rFonts w:ascii="IRBadr" w:hAnsi="IRBadr" w:cs="IRBadr"/>
          <w:rtl/>
        </w:rPr>
        <w:t>فرض اختلاف قذف</w:t>
      </w:r>
      <w:r>
        <w:rPr>
          <w:rFonts w:ascii="IRBadr" w:hAnsi="IRBadr" w:cs="IRBadr" w:hint="cs"/>
          <w:rtl/>
        </w:rPr>
        <w:t>‌</w:t>
      </w:r>
      <w:r w:rsidR="00A667F2" w:rsidRPr="004A0DD7">
        <w:rPr>
          <w:rFonts w:ascii="IRBadr" w:hAnsi="IRBadr" w:cs="IRBadr"/>
          <w:rtl/>
        </w:rPr>
        <w:t>ها</w:t>
      </w:r>
      <w:bookmarkEnd w:id="3"/>
    </w:p>
    <w:p w:rsidR="00A667F2" w:rsidRPr="004A0DD7" w:rsidRDefault="00FA4FDF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>که در متن تحریر آمده، این است که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ثبوت حکم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فرقی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A0DD7">
        <w:rPr>
          <w:rFonts w:ascii="IRBadr" w:hAnsi="IRBadr" w:cs="IRBadr"/>
          <w:sz w:val="28"/>
          <w:szCs w:val="28"/>
          <w:rtl/>
          <w:lang w:bidi="fa-IR"/>
        </w:rPr>
        <w:t xml:space="preserve"> قذف</w:t>
      </w:r>
      <w:r w:rsidR="004A0DD7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ها متماثل و یا متفاوت باشند،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همچنین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عدم فرق در حوزه موضوعی نیز سرایت پیدا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نسبت‌ها</w:t>
      </w:r>
      <w:r w:rsidR="00A667F2" w:rsidRPr="004A0DD7">
        <w:rPr>
          <w:rFonts w:ascii="IRBadr" w:hAnsi="IRBadr" w:cs="IRBadr"/>
          <w:sz w:val="28"/>
          <w:szCs w:val="28"/>
          <w:rtl/>
          <w:lang w:bidi="fa-IR"/>
        </w:rPr>
        <w:t xml:space="preserve"> به زنا یا لواط یا حتی مشابه باشد حکم همان است که گذشت.</w:t>
      </w:r>
    </w:p>
    <w:p w:rsidR="00F64DEC" w:rsidRPr="004A0DD7" w:rsidRDefault="00F64DEC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پس در این جهت معمولاً فقها قائل هستند که فرقی وجود ندارد.</w:t>
      </w:r>
    </w:p>
    <w:p w:rsidR="00F64DEC" w:rsidRPr="004A0DD7" w:rsidRDefault="00F64DEC" w:rsidP="00D33360">
      <w:pPr>
        <w:pStyle w:val="Heading3"/>
        <w:rPr>
          <w:rFonts w:ascii="IRBadr" w:hAnsi="IRBadr" w:cs="IRBadr"/>
          <w:rtl/>
        </w:rPr>
      </w:pPr>
      <w:bookmarkStart w:id="4" w:name="_Toc427448176"/>
      <w:r w:rsidRPr="004A0DD7">
        <w:rPr>
          <w:rFonts w:ascii="IRBadr" w:hAnsi="IRBadr" w:cs="IRBadr"/>
          <w:rtl/>
        </w:rPr>
        <w:lastRenderedPageBreak/>
        <w:t>تقاذف متصل و منفصل</w:t>
      </w:r>
      <w:bookmarkEnd w:id="4"/>
    </w:p>
    <w:p w:rsidR="00F64DEC" w:rsidRPr="004A0DD7" w:rsidRDefault="00F64DEC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جهتی دیگر نیز در این مقام متصور است که؛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میان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نسبت‌ها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فاصله وجود ندارد یعنی در همان زمان قذف،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توسط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دیگری به قذفی پاسخ داده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در مواردی نیز قذف به نحوی منفصل صورت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و در میان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تقارن زمانی وجود ندارد،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ادله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که در مورد سابق اطلاق داشت،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اینجا نیز اطلاق دارد،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الا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اینکه قذف اول که محقق شد، حد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جاری‌شده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</w:p>
    <w:p w:rsidR="00F64DEC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اگر حد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جاری‌شده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باشد موضوع دلیل 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 xml:space="preserve">دیگر موجود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نیست، 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به قرائن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است که تقاذف 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>شده باشد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و حد بر هر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دوثابت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 xml:space="preserve">در این زمان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هر دو ساقط می‌شود. والا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 xml:space="preserve"> در صورت اجرای حد و تراخی بدین نحو،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اطلاق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64DEC" w:rsidRPr="004A0DD7">
        <w:rPr>
          <w:rFonts w:ascii="IRBadr" w:hAnsi="IRBadr" w:cs="IRBadr"/>
          <w:sz w:val="28"/>
          <w:szCs w:val="28"/>
          <w:rtl/>
          <w:lang w:bidi="fa-IR"/>
        </w:rPr>
        <w:t xml:space="preserve"> را دربر نخواهد گرفت.</w:t>
      </w:r>
    </w:p>
    <w:p w:rsidR="00F64DEC" w:rsidRPr="004A0DD7" w:rsidRDefault="00B04FF2" w:rsidP="00D33360">
      <w:pPr>
        <w:pStyle w:val="Heading3"/>
        <w:rPr>
          <w:rFonts w:ascii="IRBadr" w:hAnsi="IRBadr" w:cs="IRBadr"/>
          <w:rtl/>
        </w:rPr>
      </w:pPr>
      <w:bookmarkStart w:id="5" w:name="_Toc427448177"/>
      <w:r w:rsidRPr="004A0DD7">
        <w:rPr>
          <w:rFonts w:ascii="IRBadr" w:hAnsi="IRBadr" w:cs="IRBadr"/>
          <w:rtl/>
        </w:rPr>
        <w:t>اتخاذ مبنا</w:t>
      </w:r>
      <w:bookmarkEnd w:id="5"/>
    </w:p>
    <w:p w:rsidR="00B04FF2" w:rsidRPr="004A0DD7" w:rsidRDefault="00B04FF2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البته به این انصراف چندان اطمینانی نداریم، قاعده تدرع الحدود می‌گوید حتی آنجا که فاصله زیاد هم بیفتد، حد دفع می‌شود.</w:t>
      </w:r>
    </w:p>
    <w:p w:rsidR="00B04FF2" w:rsidRPr="004A0DD7" w:rsidRDefault="00B04FF2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فاصله کمی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داشته باشد در اطلاق داخل است، اما اگر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بافاصله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زیاد باشد، اینجا شبهه انصراف است، ولی به کمک قاعده تدرع الحدود در فاصله کثیره هم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 xml:space="preserve"> حد ثابت نیست و ساقط می‌شود. پس ثبوت حد در آنجایی که مقارن هستند،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را قبول داریم،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5C89" w:rsidRPr="004A0DD7">
        <w:rPr>
          <w:rFonts w:ascii="IRBadr" w:hAnsi="IRBadr" w:cs="IRBadr"/>
          <w:sz w:val="28"/>
          <w:szCs w:val="28"/>
          <w:rtl/>
          <w:lang w:bidi="fa-IR"/>
        </w:rPr>
        <w:t>در آنجایی که فاصله بسیار زیادی بین دو حد است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مبنا را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نمی‌پذیریم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20A05" w:rsidRPr="004A0DD7" w:rsidRDefault="00E20A05" w:rsidP="00D33360">
      <w:pPr>
        <w:pStyle w:val="Heading3"/>
        <w:rPr>
          <w:rFonts w:ascii="IRBadr" w:hAnsi="IRBadr" w:cs="IRBadr"/>
          <w:rtl/>
        </w:rPr>
      </w:pPr>
      <w:bookmarkStart w:id="6" w:name="_Toc427448178"/>
      <w:r w:rsidRPr="004A0DD7">
        <w:rPr>
          <w:rFonts w:ascii="IRBadr" w:hAnsi="IRBadr" w:cs="IRBadr"/>
          <w:rtl/>
        </w:rPr>
        <w:t>اثرات تالی حق</w:t>
      </w:r>
      <w:r w:rsidR="003B73B5" w:rsidRPr="004A0DD7">
        <w:rPr>
          <w:rFonts w:ascii="IRBadr" w:hAnsi="IRBadr" w:cs="IRBadr"/>
          <w:rtl/>
        </w:rPr>
        <w:t>وق</w:t>
      </w:r>
      <w:r w:rsidRPr="004A0DD7">
        <w:rPr>
          <w:rFonts w:ascii="IRBadr" w:hAnsi="IRBadr" w:cs="IRBadr"/>
          <w:rtl/>
        </w:rPr>
        <w:t xml:space="preserve"> الناس</w:t>
      </w:r>
      <w:bookmarkEnd w:id="6"/>
    </w:p>
    <w:p w:rsidR="00E20A05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گفتیم که اصل در حدود و احکام الهی 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>بر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حکم 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 xml:space="preserve">بودن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است نه 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 xml:space="preserve">اینکه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حق 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>باشد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. ولی در معتبره ابی بکر حضرمی آمده بود که 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>آن از حقوق الناس است.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 xml:space="preserve"> آثاری بر آن مترتب خواهد شد که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 xml:space="preserve"> این موارد است؛</w:t>
      </w:r>
    </w:p>
    <w:p w:rsidR="00D16616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یک اثر آن این است که ثبوت حد با مطالبه 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 xml:space="preserve">ذو الحق است. باید مقذوف مطالبه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کند تا حد جاری بشود. برخلاف حد زنا و شرب خمر که</w:t>
      </w:r>
      <w:r w:rsidR="00E20A05" w:rsidRPr="004A0DD7">
        <w:rPr>
          <w:rFonts w:ascii="IRBadr" w:hAnsi="IRBadr" w:cs="IRBadr"/>
          <w:sz w:val="28"/>
          <w:szCs w:val="28"/>
          <w:rtl/>
          <w:lang w:bidi="fa-IR"/>
        </w:rPr>
        <w:t xml:space="preserve"> در آن مطالبه کسی لازم نیست که برای آن دلیل خاص خود وجود دارد.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ثانیاً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عفو، دست ذو الحق است 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می‌تواند ببخشد و 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 xml:space="preserve">قذف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ساقط بشود. ثالثاً قابل ارث بردن است، چون حق است 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می‌شود 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 xml:space="preserve">آن را به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ارث برد.</w:t>
      </w:r>
    </w:p>
    <w:p w:rsidR="00D16616" w:rsidRPr="004A0DD7" w:rsidRDefault="00D16616" w:rsidP="00D33360">
      <w:pPr>
        <w:pStyle w:val="Heading3"/>
        <w:rPr>
          <w:rFonts w:ascii="IRBadr" w:hAnsi="IRBadr" w:cs="IRBadr"/>
          <w:rtl/>
        </w:rPr>
      </w:pPr>
      <w:bookmarkStart w:id="7" w:name="_Toc427448179"/>
      <w:r w:rsidRPr="004A0DD7">
        <w:rPr>
          <w:rFonts w:ascii="IRBadr" w:hAnsi="IRBadr" w:cs="IRBadr"/>
          <w:rtl/>
        </w:rPr>
        <w:lastRenderedPageBreak/>
        <w:t>قابلیت انتقال در حقوق الناس</w:t>
      </w:r>
      <w:bookmarkEnd w:id="7"/>
    </w:p>
    <w:p w:rsidR="00D60CE8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آخرین علامت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بودن آن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این است که به ارث برده می‌شود. 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 xml:space="preserve">مقذوف حق دارد قاذف را مطالبه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کند و اگر مرد، ورثه او می‌تواند این را مطالبه 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>کنند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D16616" w:rsidRPr="004A0DD7">
        <w:rPr>
          <w:rFonts w:ascii="IRBadr" w:hAnsi="IRBadr" w:cs="IRBadr"/>
          <w:sz w:val="28"/>
          <w:szCs w:val="28"/>
          <w:rtl/>
          <w:lang w:bidi="fa-IR"/>
        </w:rPr>
        <w:t>در این باب نکاتی وجود دارد که باید بدان توجه گردد.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 xml:space="preserve"> اگر حد جاری شد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یا یکی از مسقطات 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>جاری شد،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ارث برده نمی‌شود، چون استیفا 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تمام‌شده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پس اصل اینکه حد قذف موروث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>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است، 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>امر مسلمی است.</w:t>
      </w:r>
    </w:p>
    <w:p w:rsidR="00D60CE8" w:rsidRPr="004A0DD7" w:rsidRDefault="00D60CE8" w:rsidP="00D33360">
      <w:pPr>
        <w:pStyle w:val="Heading3"/>
        <w:rPr>
          <w:rFonts w:ascii="IRBadr" w:hAnsi="IRBadr" w:cs="IRBadr"/>
          <w:rtl/>
        </w:rPr>
      </w:pPr>
      <w:bookmarkStart w:id="8" w:name="_Toc427448180"/>
      <w:r w:rsidRPr="004A0DD7">
        <w:rPr>
          <w:rFonts w:ascii="IRBadr" w:hAnsi="IRBadr" w:cs="IRBadr"/>
          <w:rtl/>
        </w:rPr>
        <w:t xml:space="preserve">فرض </w:t>
      </w:r>
      <w:r w:rsidR="004A0DD7">
        <w:rPr>
          <w:rFonts w:ascii="IRBadr" w:hAnsi="IRBadr" w:cs="IRBadr"/>
          <w:rtl/>
        </w:rPr>
        <w:t>استیفا</w:t>
      </w:r>
      <w:bookmarkEnd w:id="8"/>
    </w:p>
    <w:p w:rsidR="003B73B5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انتقال حد قذف به ارث در صورتی است که حد قذف استیفا نشده باشد یا مسقطی آن را ساقط 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 xml:space="preserve">نکرده باشد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>والا اگر استیفا شد یا مسقطی مثل عفو آمد</w:t>
      </w:r>
      <w:r w:rsidR="00D60CE8"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به ارث نمی‌رسد.</w:t>
      </w:r>
    </w:p>
    <w:p w:rsidR="003B73B5" w:rsidRPr="004A0DD7" w:rsidRDefault="003B73B5" w:rsidP="00D33360">
      <w:pPr>
        <w:pStyle w:val="Heading3"/>
        <w:rPr>
          <w:rFonts w:ascii="IRBadr" w:hAnsi="IRBadr" w:cs="IRBadr"/>
          <w:sz w:val="28"/>
          <w:szCs w:val="28"/>
          <w:rtl/>
        </w:rPr>
      </w:pPr>
      <w:bookmarkStart w:id="9" w:name="_Toc427448181"/>
      <w:r w:rsidRPr="004A0DD7">
        <w:rPr>
          <w:rFonts w:ascii="IRBadr" w:hAnsi="IRBadr" w:cs="IRBadr"/>
          <w:rtl/>
        </w:rPr>
        <w:t>عینیت در وراثت</w:t>
      </w:r>
      <w:bookmarkEnd w:id="9"/>
    </w:p>
    <w:p w:rsidR="00BE7C7E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جهت دوم این است که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همه‌کسانی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که وارث شخص هستند، وارث این حد قذف و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>نیز خواهند بود.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جز زوج و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 xml:space="preserve"> زوجه که این را به ارث نمی‌برند که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دلیل خاص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 xml:space="preserve"> در این زمینه وجود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B73B5" w:rsidRPr="004A0DD7" w:rsidRDefault="003B73B5" w:rsidP="00D33360">
      <w:pPr>
        <w:pStyle w:val="Heading3"/>
        <w:rPr>
          <w:rFonts w:ascii="IRBadr" w:hAnsi="IRBadr" w:cs="IRBadr"/>
          <w:sz w:val="28"/>
          <w:szCs w:val="28"/>
          <w:rtl/>
        </w:rPr>
      </w:pPr>
      <w:bookmarkStart w:id="10" w:name="_Toc427448182"/>
      <w:r w:rsidRPr="004A0DD7">
        <w:rPr>
          <w:rFonts w:ascii="IRBadr" w:hAnsi="IRBadr" w:cs="IRBadr"/>
          <w:rtl/>
        </w:rPr>
        <w:t>تفاوت ارث قذف با مال</w:t>
      </w:r>
      <w:bookmarkEnd w:id="10"/>
    </w:p>
    <w:p w:rsidR="003B73B5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A0DD7">
        <w:rPr>
          <w:rFonts w:ascii="IRBadr" w:hAnsi="IRBadr" w:cs="IRBadr"/>
          <w:sz w:val="28"/>
          <w:szCs w:val="28"/>
          <w:rtl/>
          <w:lang w:bidi="fa-IR"/>
        </w:rPr>
        <w:t>مطلب سوم این است که ارث حد قذف با ارث مال متفاوت است. در ارث مال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مال توزیع می‌شود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 اما در ارث حد قذف توزیع و تقسیم نداریم، بلکه هر یک از ورثه 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 xml:space="preserve">مستقلاً می‌تواند این را مطالبه </w:t>
      </w:r>
      <w:r w:rsidRPr="004A0DD7">
        <w:rPr>
          <w:rFonts w:ascii="IRBadr" w:hAnsi="IRBadr" w:cs="IRBadr"/>
          <w:sz w:val="28"/>
          <w:szCs w:val="28"/>
          <w:rtl/>
          <w:lang w:bidi="fa-IR"/>
        </w:rPr>
        <w:t xml:space="preserve">کند. 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>در مواردی که در فوق ذکر شد،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 xml:space="preserve"> تقریباً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  <w:lang w:bidi="fa-IR"/>
        </w:rPr>
        <w:t>اختلاف‌نظری</w:t>
      </w:r>
      <w:r w:rsidR="003B73B5" w:rsidRPr="004A0DD7">
        <w:rPr>
          <w:rFonts w:ascii="IRBadr" w:hAnsi="IRBadr" w:cs="IRBadr"/>
          <w:sz w:val="28"/>
          <w:szCs w:val="28"/>
          <w:rtl/>
          <w:lang w:bidi="fa-IR"/>
        </w:rPr>
        <w:t xml:space="preserve"> وجود ندارد.</w:t>
      </w:r>
    </w:p>
    <w:p w:rsidR="00BE7C7E" w:rsidRPr="004A0DD7" w:rsidRDefault="00BE7C7E" w:rsidP="00D33360">
      <w:pPr>
        <w:pStyle w:val="Heading4"/>
        <w:ind w:firstLine="0"/>
        <w:rPr>
          <w:rFonts w:ascii="IRBadr" w:hAnsi="IRBadr" w:cs="IRBadr"/>
          <w:rtl/>
        </w:rPr>
      </w:pPr>
      <w:bookmarkStart w:id="11" w:name="_Toc427448183"/>
      <w:r w:rsidRPr="004A0DD7">
        <w:rPr>
          <w:rFonts w:ascii="IRBadr" w:hAnsi="IRBadr" w:cs="IRBadr"/>
          <w:rtl/>
        </w:rPr>
        <w:t>روایات داله بر ثبوت اصل قذف</w:t>
      </w:r>
      <w:bookmarkEnd w:id="11"/>
    </w:p>
    <w:p w:rsidR="00BE7C7E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>روایت اول</w:t>
      </w:r>
      <w:r w:rsidR="00BE7C7E" w:rsidRPr="004A0DD7">
        <w:rPr>
          <w:rFonts w:ascii="IRBadr" w:hAnsi="IRBadr" w:cs="IRBadr"/>
          <w:sz w:val="28"/>
          <w:szCs w:val="28"/>
          <w:rtl/>
        </w:rPr>
        <w:t xml:space="preserve"> در</w:t>
      </w:r>
      <w:r w:rsidRPr="004A0DD7">
        <w:rPr>
          <w:rFonts w:ascii="IRBadr" w:hAnsi="IRBadr" w:cs="IRBadr"/>
          <w:sz w:val="28"/>
          <w:szCs w:val="28"/>
          <w:rtl/>
        </w:rPr>
        <w:t xml:space="preserve"> باب چهارده از ابواب حد قذف، صفحه چهارصد و </w:t>
      </w:r>
      <w:r w:rsidR="00FA4FDF" w:rsidRPr="004A0DD7">
        <w:rPr>
          <w:rFonts w:ascii="IRBadr" w:hAnsi="IRBadr" w:cs="IRBadr"/>
          <w:sz w:val="28"/>
          <w:szCs w:val="28"/>
          <w:rtl/>
        </w:rPr>
        <w:t>چهل‌وپنج</w:t>
      </w:r>
      <w:r w:rsidRPr="004A0DD7">
        <w:rPr>
          <w:rFonts w:ascii="IRBadr" w:hAnsi="IRBadr" w:cs="IRBadr"/>
          <w:sz w:val="28"/>
          <w:szCs w:val="28"/>
          <w:rtl/>
        </w:rPr>
        <w:t xml:space="preserve">، </w:t>
      </w:r>
      <w:r w:rsidR="00FA4FDF" w:rsidRPr="004A0DD7">
        <w:rPr>
          <w:rFonts w:ascii="IRBadr" w:hAnsi="IRBadr" w:cs="IRBadr"/>
          <w:sz w:val="28"/>
          <w:szCs w:val="28"/>
          <w:rtl/>
        </w:rPr>
        <w:t>هست</w:t>
      </w:r>
      <w:r w:rsidR="00BE7C7E" w:rsidRPr="004A0DD7">
        <w:rPr>
          <w:rFonts w:ascii="IRBadr" w:hAnsi="IRBadr" w:cs="IRBadr"/>
          <w:sz w:val="28"/>
          <w:szCs w:val="28"/>
          <w:rtl/>
        </w:rPr>
        <w:t xml:space="preserve"> که تنها یک روایت است.</w:t>
      </w:r>
      <w:r w:rsidRPr="004A0DD7">
        <w:rPr>
          <w:rFonts w:ascii="IRBadr" w:hAnsi="IRBadr" w:cs="IRBadr"/>
          <w:sz w:val="28"/>
          <w:szCs w:val="28"/>
          <w:rtl/>
        </w:rPr>
        <w:t xml:space="preserve"> سند روایت</w:t>
      </w:r>
      <w:r w:rsidR="00BE7C7E" w:rsidRPr="004A0DD7">
        <w:rPr>
          <w:rFonts w:ascii="IRBadr" w:hAnsi="IRBadr" w:cs="IRBadr"/>
          <w:sz w:val="28"/>
          <w:szCs w:val="28"/>
          <w:rtl/>
        </w:rPr>
        <w:t>،</w:t>
      </w:r>
      <w:r w:rsidRPr="004A0DD7">
        <w:rPr>
          <w:rFonts w:ascii="IRBadr" w:hAnsi="IRBadr" w:cs="IRBadr"/>
          <w:sz w:val="28"/>
          <w:szCs w:val="28"/>
          <w:rtl/>
        </w:rPr>
        <w:t xml:space="preserve"> </w:t>
      </w:r>
      <w:r w:rsidR="00BE7C7E" w:rsidRPr="004A0DD7">
        <w:rPr>
          <w:rFonts w:ascii="IRBadr" w:hAnsi="IRBadr" w:cs="IRBadr"/>
          <w:sz w:val="28"/>
          <w:szCs w:val="28"/>
          <w:rtl/>
        </w:rPr>
        <w:t xml:space="preserve">سند </w:t>
      </w:r>
      <w:r w:rsidRPr="004A0DD7">
        <w:rPr>
          <w:rFonts w:ascii="IRBadr" w:hAnsi="IRBadr" w:cs="IRBadr"/>
          <w:sz w:val="28"/>
          <w:szCs w:val="28"/>
          <w:rtl/>
        </w:rPr>
        <w:t>بسیار</w:t>
      </w:r>
      <w:r w:rsidR="00BE7C7E" w:rsidRPr="004A0DD7">
        <w:rPr>
          <w:rFonts w:ascii="IRBadr" w:hAnsi="IRBadr" w:cs="IRBadr"/>
          <w:sz w:val="28"/>
          <w:szCs w:val="28"/>
          <w:rtl/>
        </w:rPr>
        <w:t xml:space="preserve"> خوبی است؛</w:t>
      </w:r>
    </w:p>
    <w:p w:rsidR="00FE6D6B" w:rsidRPr="004A0DD7" w:rsidRDefault="00FE6D6B" w:rsidP="00D3336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عَلِ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إِبْرَاهِ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مَحْبُوبٍ عَنِ الْعَلَاءِ بْنِ رَزِ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نٍ عَنْ مُحَمَّدِ بْنِ مُسْلِمٍ قَالَ: سَأَلْتُ أَبَا جَعْفَرٍ ع عَنْ رَجُلٍ قَذَفَ ابْنَهُ بِالزِّنَا- قَالَ لَوْ قَتَلَهُ مَا قُتِلَ بِهِ وَ إِنْ قَذَفَهُ لَمْ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جْلَدْ لَهُ- قُلْتُ فَإِنْ قَذَفَ أَبُوهُ أُمَّهُ- قَالَ إِنْ قَذَفَهَا وَ انْتَفَ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 وَلَدِهَا- تَلَاعَنَا وَ لَمْ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لْزَمْ ذَلِ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الْوَلَدَ الَّذِ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انْتَفَ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مِنْهُ- وَ فُرِّقَ بَ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نَهُمَا وَ لَمْ تَحِلَّ لَهُ أَبَداً- قَالَ وَ إِنْ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قَالَ لِابْنِهِ وَ أُمُّهُ حَ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ةٌ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ابْنَ الزَّانِ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ةِ- وَ لَمْ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نْتَفِ مِنْ وَلَدِهَا جُلِدَ الْحَدَّ لَهَا وَ لَمْ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فَرَّقْ بَ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نَهُمَا- قَالَ وَ إِنْ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قَالَ لِابْنِهِ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ابْنَ الزَّانِ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ةِ وَ أُمُّهُ 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مَ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تَةٌ- وَ لَمْ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لَهَا مَنْ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أْخُذُ بِحَقِّهَا مِنْهُ إِلَّا وَلَدُهَا مِنْهُ- فَإِنَّهُ لَا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قَامُ عَلَ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الْحَدُّ- لِأَنَّ حَقَّ الْحَدِّ قَدْ صَارَ لِوَلَدِهِ مِنْهَا- فَإِنْ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لَهَا وَلَدٌ مِنْ غَ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رِهِ فَهُوَ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ولی‌ها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جْلَدُ»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Pr="004A0D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303EC2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>فردی فرزند خودش را قذف به زنا کر</w:t>
      </w:r>
      <w:r w:rsidR="00303EC2" w:rsidRPr="004A0DD7">
        <w:rPr>
          <w:rFonts w:ascii="IRBadr" w:hAnsi="IRBadr" w:cs="IRBadr"/>
          <w:sz w:val="28"/>
          <w:szCs w:val="28"/>
          <w:rtl/>
        </w:rPr>
        <w:t>د. حضرت فرمود اینجا حد قذف نیست</w:t>
      </w:r>
      <w:r w:rsidRPr="004A0DD7">
        <w:rPr>
          <w:rFonts w:ascii="IRBadr" w:hAnsi="IRBadr" w:cs="IRBadr"/>
          <w:sz w:val="28"/>
          <w:szCs w:val="28"/>
          <w:rtl/>
        </w:rPr>
        <w:t xml:space="preserve"> چون قبلاً گفتیم اگر پدر فرزند را قذف کند، حد قذف نیست</w:t>
      </w:r>
      <w:r w:rsidR="00303EC2" w:rsidRPr="004A0DD7">
        <w:rPr>
          <w:rFonts w:ascii="IRBadr" w:hAnsi="IRBadr" w:cs="IRBadr"/>
          <w:sz w:val="28"/>
          <w:szCs w:val="28"/>
          <w:rtl/>
        </w:rPr>
        <w:t xml:space="preserve">. اگر مادرش را قذف </w:t>
      </w:r>
      <w:r w:rsidRPr="004A0DD7">
        <w:rPr>
          <w:rFonts w:ascii="IRBadr" w:hAnsi="IRBadr" w:cs="IRBadr"/>
          <w:sz w:val="28"/>
          <w:szCs w:val="28"/>
          <w:rtl/>
        </w:rPr>
        <w:t xml:space="preserve">کند، بحث لعان پیش می‌آید. تا به این جمله می‌رسد که اگر این مرد به فرزند خودش بگوید </w:t>
      </w:r>
      <w:r w:rsidR="00FA4FDF" w:rsidRPr="004A0DD7">
        <w:rPr>
          <w:rFonts w:ascii="IRBadr" w:hAnsi="IRBadr" w:cs="IRBadr"/>
          <w:sz w:val="28"/>
          <w:szCs w:val="28"/>
          <w:rtl/>
        </w:rPr>
        <w:t>یا بن</w:t>
      </w:r>
      <w:r w:rsidRPr="004A0DD7">
        <w:rPr>
          <w:rFonts w:ascii="IRBadr" w:hAnsi="IRBadr" w:cs="IRBadr"/>
          <w:sz w:val="28"/>
          <w:szCs w:val="28"/>
          <w:rtl/>
        </w:rPr>
        <w:t xml:space="preserve"> الزانیه</w:t>
      </w:r>
      <w:r w:rsidR="00303EC2" w:rsidRPr="004A0DD7">
        <w:rPr>
          <w:rFonts w:ascii="IRBadr" w:hAnsi="IRBadr" w:cs="IRBadr"/>
          <w:sz w:val="28"/>
          <w:szCs w:val="28"/>
          <w:rtl/>
        </w:rPr>
        <w:t>،</w:t>
      </w:r>
      <w:r w:rsidRPr="004A0DD7">
        <w:rPr>
          <w:rFonts w:ascii="IRBadr" w:hAnsi="IRBadr" w:cs="IRBadr"/>
          <w:sz w:val="28"/>
          <w:szCs w:val="28"/>
          <w:rtl/>
        </w:rPr>
        <w:t xml:space="preserve"> قذف او نیست</w:t>
      </w:r>
      <w:r w:rsidR="00303EC2" w:rsidRPr="004A0DD7">
        <w:rPr>
          <w:rFonts w:ascii="IRBadr" w:hAnsi="IRBadr" w:cs="IRBadr"/>
          <w:sz w:val="28"/>
          <w:szCs w:val="28"/>
          <w:rtl/>
        </w:rPr>
        <w:t>،</w:t>
      </w:r>
      <w:r w:rsidRPr="004A0DD7">
        <w:rPr>
          <w:rFonts w:ascii="IRBadr" w:hAnsi="IRBadr" w:cs="IRBadr"/>
          <w:sz w:val="28"/>
          <w:szCs w:val="28"/>
          <w:rtl/>
        </w:rPr>
        <w:t xml:space="preserve"> بلکه قذف مادر است.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نکته‌ای</w:t>
      </w:r>
      <w:r w:rsidR="00303EC2" w:rsidRPr="004A0DD7">
        <w:rPr>
          <w:rFonts w:ascii="IRBadr" w:hAnsi="IRBadr" w:cs="IRBadr"/>
          <w:sz w:val="28"/>
          <w:szCs w:val="28"/>
          <w:rtl/>
        </w:rPr>
        <w:t xml:space="preserve"> که در این روایت باید توجه قرار گیرد این است که نسبت را از مادرش،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درحالی‌که</w:t>
      </w:r>
      <w:r w:rsidR="00303EC2" w:rsidRPr="004A0DD7">
        <w:rPr>
          <w:rFonts w:ascii="IRBadr" w:hAnsi="IRBadr" w:cs="IRBadr"/>
          <w:sz w:val="28"/>
          <w:szCs w:val="28"/>
          <w:rtl/>
        </w:rPr>
        <w:t xml:space="preserve"> مرده است،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به</w:t>
      </w:r>
      <w:r w:rsidR="00303EC2" w:rsidRPr="004A0DD7">
        <w:rPr>
          <w:rFonts w:ascii="IRBadr" w:hAnsi="IRBadr" w:cs="IRBadr"/>
          <w:sz w:val="28"/>
          <w:szCs w:val="28"/>
          <w:rtl/>
        </w:rPr>
        <w:t xml:space="preserve"> ارث برده است.</w:t>
      </w:r>
    </w:p>
    <w:p w:rsidR="00984A4E" w:rsidRPr="004A0DD7" w:rsidRDefault="00FA4FDF" w:rsidP="00D33360">
      <w:pPr>
        <w:pStyle w:val="Heading4"/>
        <w:ind w:firstLine="0"/>
        <w:rPr>
          <w:rFonts w:ascii="IRBadr" w:hAnsi="IRBadr" w:cs="IRBadr"/>
          <w:rtl/>
        </w:rPr>
      </w:pPr>
      <w:bookmarkStart w:id="13" w:name="_Toc427448184"/>
      <w:r w:rsidRPr="004A0DD7">
        <w:rPr>
          <w:rFonts w:ascii="IRBadr" w:hAnsi="IRBadr" w:cs="IRBadr"/>
          <w:rtl/>
        </w:rPr>
        <w:t>جمع‌بندی</w:t>
      </w:r>
      <w:bookmarkEnd w:id="13"/>
    </w:p>
    <w:p w:rsidR="00984A4E" w:rsidRPr="004A0DD7" w:rsidRDefault="00984A4E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>این نیز امری خلاف قاعده است اما،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برخلاف</w:t>
      </w:r>
      <w:r w:rsidRPr="004A0DD7">
        <w:rPr>
          <w:rFonts w:ascii="IRBadr" w:hAnsi="IRBadr" w:cs="IRBadr"/>
          <w:sz w:val="28"/>
          <w:szCs w:val="28"/>
          <w:rtl/>
        </w:rPr>
        <w:t xml:space="preserve"> مال در اینجا معنی پیدا </w:t>
      </w:r>
      <w:r w:rsidR="00FA4FDF" w:rsidRPr="004A0DD7">
        <w:rPr>
          <w:rFonts w:ascii="IRBadr" w:hAnsi="IRBadr" w:cs="IRBadr"/>
          <w:sz w:val="28"/>
          <w:szCs w:val="28"/>
          <w:rtl/>
        </w:rPr>
        <w:t>می‌کند</w:t>
      </w:r>
      <w:r w:rsidRPr="004A0DD7">
        <w:rPr>
          <w:rFonts w:ascii="IRBadr" w:hAnsi="IRBadr" w:cs="IRBadr"/>
          <w:sz w:val="28"/>
          <w:szCs w:val="28"/>
          <w:rtl/>
        </w:rPr>
        <w:t>.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البته</w:t>
      </w:r>
      <w:r w:rsidRPr="004A0DD7">
        <w:rPr>
          <w:rFonts w:ascii="IRBadr" w:hAnsi="IRBadr" w:cs="IRBadr"/>
          <w:sz w:val="28"/>
          <w:szCs w:val="28"/>
          <w:rtl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</w:rPr>
        <w:t>درجایی</w:t>
      </w:r>
      <w:r w:rsidRPr="004A0DD7">
        <w:rPr>
          <w:rFonts w:ascii="IRBadr" w:hAnsi="IRBadr" w:cs="IRBadr"/>
          <w:sz w:val="28"/>
          <w:szCs w:val="28"/>
          <w:rtl/>
        </w:rPr>
        <w:t xml:space="preserve"> که او زنده باشد،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حکم</w:t>
      </w:r>
      <w:r w:rsidRPr="004A0DD7">
        <w:rPr>
          <w:rFonts w:ascii="IRBadr" w:hAnsi="IRBadr" w:cs="IRBadr"/>
          <w:sz w:val="28"/>
          <w:szCs w:val="28"/>
          <w:rtl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</w:rPr>
        <w:t>به‌طریق‌اولی</w:t>
      </w:r>
      <w:r w:rsidRPr="004A0DD7">
        <w:rPr>
          <w:rFonts w:ascii="IRBadr" w:hAnsi="IRBadr" w:cs="IRBadr"/>
          <w:sz w:val="28"/>
          <w:szCs w:val="28"/>
          <w:rtl/>
        </w:rPr>
        <w:t xml:space="preserve"> جاری خواهد شد. 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پس اصل دلالت روایت مسلم است، گرچه </w:t>
      </w:r>
      <w:r w:rsidR="00FA4FDF" w:rsidRPr="004A0DD7">
        <w:rPr>
          <w:rFonts w:ascii="IRBadr" w:hAnsi="IRBadr" w:cs="IRBadr"/>
          <w:sz w:val="28"/>
          <w:szCs w:val="28"/>
          <w:rtl/>
        </w:rPr>
        <w:t>درصورتی‌که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در حال میت بودن </w:t>
      </w:r>
      <w:r w:rsidRPr="004A0DD7">
        <w:rPr>
          <w:rFonts w:ascii="IRBadr" w:hAnsi="IRBadr" w:cs="IRBadr"/>
          <w:sz w:val="28"/>
          <w:szCs w:val="28"/>
          <w:rtl/>
        </w:rPr>
        <w:t xml:space="preserve">است، نسبت </w:t>
      </w:r>
      <w:r w:rsidR="00FA4FDF" w:rsidRPr="004A0DD7">
        <w:rPr>
          <w:rFonts w:ascii="IRBadr" w:hAnsi="IRBadr" w:cs="IRBadr"/>
          <w:sz w:val="28"/>
          <w:szCs w:val="28"/>
          <w:rtl/>
        </w:rPr>
        <w:t>داده‌شده</w:t>
      </w:r>
      <w:r w:rsidRPr="004A0DD7">
        <w:rPr>
          <w:rFonts w:ascii="IRBadr" w:hAnsi="IRBadr" w:cs="IRBadr"/>
          <w:sz w:val="28"/>
          <w:szCs w:val="28"/>
          <w:rtl/>
        </w:rPr>
        <w:t xml:space="preserve"> </w:t>
      </w:r>
      <w:r w:rsidR="00575C89" w:rsidRPr="004A0DD7">
        <w:rPr>
          <w:rFonts w:ascii="IRBadr" w:hAnsi="IRBadr" w:cs="IRBadr"/>
          <w:sz w:val="28"/>
          <w:szCs w:val="28"/>
          <w:rtl/>
        </w:rPr>
        <w:t>کمی خلاف قاعده است، ولی این هم به دلالت صریح روایت ثابت می‌شود.</w:t>
      </w:r>
    </w:p>
    <w:p w:rsidR="00984A4E" w:rsidRPr="004A0DD7" w:rsidRDefault="00984A4E" w:rsidP="00D33360">
      <w:pPr>
        <w:pStyle w:val="Heading4"/>
        <w:ind w:firstLine="0"/>
        <w:rPr>
          <w:rFonts w:ascii="IRBadr" w:hAnsi="IRBadr" w:cs="IRBadr"/>
          <w:rtl/>
        </w:rPr>
      </w:pPr>
      <w:bookmarkStart w:id="14" w:name="_Toc427448185"/>
      <w:r w:rsidRPr="004A0DD7">
        <w:rPr>
          <w:rFonts w:ascii="IRBadr" w:hAnsi="IRBadr" w:cs="IRBadr"/>
          <w:rtl/>
        </w:rPr>
        <w:t>استقلال در وراثت</w:t>
      </w:r>
      <w:bookmarkEnd w:id="14"/>
    </w:p>
    <w:p w:rsidR="00984A4E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ارث بردن </w:t>
      </w:r>
      <w:r w:rsidR="00984A4E" w:rsidRPr="004A0DD7">
        <w:rPr>
          <w:rFonts w:ascii="IRBadr" w:hAnsi="IRBadr" w:cs="IRBadr"/>
          <w:sz w:val="28"/>
          <w:szCs w:val="28"/>
          <w:rtl/>
        </w:rPr>
        <w:t xml:space="preserve">فوق </w:t>
      </w:r>
      <w:r w:rsidRPr="004A0DD7">
        <w:rPr>
          <w:rFonts w:ascii="IRBadr" w:hAnsi="IRBadr" w:cs="IRBadr"/>
          <w:sz w:val="28"/>
          <w:szCs w:val="28"/>
          <w:rtl/>
        </w:rPr>
        <w:t>به نحو توزیع نی</w:t>
      </w:r>
      <w:r w:rsidR="00984A4E" w:rsidRPr="004A0DD7">
        <w:rPr>
          <w:rFonts w:ascii="IRBadr" w:hAnsi="IRBadr" w:cs="IRBadr"/>
          <w:sz w:val="28"/>
          <w:szCs w:val="28"/>
          <w:rtl/>
        </w:rPr>
        <w:t xml:space="preserve">ست، بلکه کل واحد من الورثه مستقلاً می‌تواند مطالبه </w:t>
      </w:r>
      <w:r w:rsidRPr="004A0DD7">
        <w:rPr>
          <w:rFonts w:ascii="IRBadr" w:hAnsi="IRBadr" w:cs="IRBadr"/>
          <w:sz w:val="28"/>
          <w:szCs w:val="28"/>
          <w:rtl/>
        </w:rPr>
        <w:t xml:space="preserve">کند، </w:t>
      </w:r>
      <w:r w:rsidR="00984A4E" w:rsidRPr="004A0DD7">
        <w:rPr>
          <w:rFonts w:ascii="IRBadr" w:hAnsi="IRBadr" w:cs="IRBadr"/>
          <w:sz w:val="28"/>
          <w:szCs w:val="28"/>
          <w:rtl/>
        </w:rPr>
        <w:t xml:space="preserve">برای </w:t>
      </w:r>
      <w:r w:rsidR="00FA4FDF" w:rsidRPr="004A0DD7">
        <w:rPr>
          <w:rFonts w:ascii="IRBadr" w:hAnsi="IRBadr" w:cs="IRBadr"/>
          <w:sz w:val="28"/>
          <w:szCs w:val="28"/>
          <w:rtl/>
        </w:rPr>
        <w:t>آن‌هم</w:t>
      </w:r>
      <w:r w:rsidRPr="004A0DD7">
        <w:rPr>
          <w:rFonts w:ascii="IRBadr" w:hAnsi="IRBadr" w:cs="IRBadr"/>
          <w:sz w:val="28"/>
          <w:szCs w:val="28"/>
          <w:rtl/>
        </w:rPr>
        <w:t xml:space="preserve"> دو روایت</w:t>
      </w:r>
      <w:r w:rsidR="00984A4E" w:rsidRPr="004A0DD7">
        <w:rPr>
          <w:rFonts w:ascii="IRBadr" w:hAnsi="IRBadr" w:cs="IRBadr"/>
          <w:sz w:val="28"/>
          <w:szCs w:val="28"/>
          <w:rtl/>
        </w:rPr>
        <w:t xml:space="preserve"> وجود</w:t>
      </w:r>
      <w:r w:rsidRPr="004A0DD7">
        <w:rPr>
          <w:rFonts w:ascii="IRBadr" w:hAnsi="IRBadr" w:cs="IRBadr"/>
          <w:sz w:val="28"/>
          <w:szCs w:val="28"/>
          <w:rtl/>
        </w:rPr>
        <w:t xml:space="preserve"> دارد </w:t>
      </w:r>
      <w:r w:rsidR="00984A4E" w:rsidRPr="004A0DD7">
        <w:rPr>
          <w:rFonts w:ascii="IRBadr" w:hAnsi="IRBadr" w:cs="IRBadr"/>
          <w:sz w:val="28"/>
          <w:szCs w:val="28"/>
          <w:rtl/>
        </w:rPr>
        <w:t xml:space="preserve">که </w:t>
      </w:r>
      <w:r w:rsidRPr="004A0DD7">
        <w:rPr>
          <w:rFonts w:ascii="IRBadr" w:hAnsi="IRBadr" w:cs="IRBadr"/>
          <w:sz w:val="28"/>
          <w:szCs w:val="28"/>
          <w:rtl/>
        </w:rPr>
        <w:t xml:space="preserve">در باب </w:t>
      </w:r>
      <w:r w:rsidR="00FA4FDF" w:rsidRPr="004A0DD7">
        <w:rPr>
          <w:rFonts w:ascii="IRBadr" w:hAnsi="IRBadr" w:cs="IRBadr"/>
          <w:sz w:val="28"/>
          <w:szCs w:val="28"/>
          <w:rtl/>
        </w:rPr>
        <w:t>بیست‌وسه</w:t>
      </w:r>
      <w:r w:rsidRPr="004A0DD7">
        <w:rPr>
          <w:rFonts w:ascii="IRBadr" w:hAnsi="IRBadr" w:cs="IRBadr"/>
          <w:sz w:val="28"/>
          <w:szCs w:val="28"/>
          <w:rtl/>
        </w:rPr>
        <w:t xml:space="preserve"> از ابواب مقدمات حدود</w:t>
      </w:r>
      <w:r w:rsidR="00984A4E" w:rsidRPr="004A0DD7">
        <w:rPr>
          <w:rFonts w:ascii="IRBadr" w:hAnsi="IRBadr" w:cs="IRBadr"/>
          <w:sz w:val="28"/>
          <w:szCs w:val="28"/>
          <w:rtl/>
        </w:rPr>
        <w:t xml:space="preserve"> </w:t>
      </w:r>
      <w:r w:rsidR="00FA4FDF" w:rsidRPr="004A0DD7">
        <w:rPr>
          <w:rFonts w:ascii="IRBadr" w:hAnsi="IRBadr" w:cs="IRBadr"/>
          <w:sz w:val="28"/>
          <w:szCs w:val="28"/>
          <w:rtl/>
        </w:rPr>
        <w:t>ذکرشده</w:t>
      </w:r>
      <w:r w:rsidR="00984A4E" w:rsidRPr="004A0DD7">
        <w:rPr>
          <w:rFonts w:ascii="IRBadr" w:hAnsi="IRBadr" w:cs="IRBadr"/>
          <w:sz w:val="28"/>
          <w:szCs w:val="28"/>
          <w:rtl/>
        </w:rPr>
        <w:t xml:space="preserve"> است.</w:t>
      </w:r>
    </w:p>
    <w:p w:rsidR="00750B24" w:rsidRPr="004A0DD7" w:rsidRDefault="00750B24" w:rsidP="00D33360">
      <w:pPr>
        <w:pStyle w:val="Heading4"/>
        <w:ind w:firstLine="0"/>
        <w:rPr>
          <w:rFonts w:ascii="IRBadr" w:hAnsi="IRBadr" w:cs="IRBadr"/>
          <w:rtl/>
        </w:rPr>
      </w:pPr>
      <w:bookmarkStart w:id="15" w:name="_Toc427448186"/>
      <w:r w:rsidRPr="004A0DD7">
        <w:rPr>
          <w:rFonts w:ascii="IRBadr" w:hAnsi="IRBadr" w:cs="IRBadr"/>
          <w:rtl/>
        </w:rPr>
        <w:t>روایت اول</w:t>
      </w:r>
      <w:bookmarkEnd w:id="15"/>
    </w:p>
    <w:p w:rsidR="00750B24" w:rsidRPr="004A0DD7" w:rsidRDefault="00984A4E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>روایت اول در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همین جلد هیجده ابواب مقدمات حدود</w:t>
      </w:r>
      <w:r w:rsidRPr="004A0DD7">
        <w:rPr>
          <w:rFonts w:ascii="IRBadr" w:hAnsi="IRBadr" w:cs="IRBadr"/>
          <w:sz w:val="28"/>
          <w:szCs w:val="28"/>
          <w:rtl/>
        </w:rPr>
        <w:t>،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باب </w:t>
      </w:r>
      <w:r w:rsidR="00FA4FDF" w:rsidRPr="004A0DD7">
        <w:rPr>
          <w:rFonts w:ascii="IRBadr" w:hAnsi="IRBadr" w:cs="IRBadr"/>
          <w:sz w:val="28"/>
          <w:szCs w:val="28"/>
          <w:rtl/>
        </w:rPr>
        <w:t>بیست‌وسه</w:t>
      </w:r>
      <w:r w:rsidR="00575C89" w:rsidRPr="004A0DD7">
        <w:rPr>
          <w:rFonts w:ascii="IRBadr" w:hAnsi="IRBadr" w:cs="IRBadr"/>
          <w:sz w:val="28"/>
          <w:szCs w:val="28"/>
          <w:rtl/>
        </w:rPr>
        <w:t>، حدیث اول</w:t>
      </w:r>
      <w:r w:rsidRPr="004A0DD7">
        <w:rPr>
          <w:rFonts w:ascii="IRBadr" w:hAnsi="IRBadr" w:cs="IRBadr"/>
          <w:sz w:val="28"/>
          <w:szCs w:val="28"/>
          <w:rtl/>
        </w:rPr>
        <w:t>،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صفحه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سیصد و </w:t>
      </w:r>
      <w:r w:rsidR="00FA4FDF" w:rsidRPr="004A0DD7">
        <w:rPr>
          <w:rFonts w:ascii="IRBadr" w:hAnsi="IRBadr" w:cs="IRBadr"/>
          <w:sz w:val="28"/>
          <w:szCs w:val="28"/>
          <w:rtl/>
        </w:rPr>
        <w:t>سی‌وچهار</w:t>
      </w:r>
      <w:r w:rsidRPr="004A0DD7">
        <w:rPr>
          <w:rFonts w:ascii="IRBadr" w:hAnsi="IRBadr" w:cs="IRBadr"/>
          <w:sz w:val="28"/>
          <w:szCs w:val="28"/>
          <w:rtl/>
        </w:rPr>
        <w:t xml:space="preserve"> است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که</w:t>
      </w:r>
      <w:r w:rsidR="00750B24" w:rsidRPr="004A0DD7">
        <w:rPr>
          <w:rFonts w:ascii="IRBadr" w:hAnsi="IRBadr" w:cs="IRBadr"/>
          <w:sz w:val="28"/>
          <w:szCs w:val="28"/>
          <w:rtl/>
        </w:rPr>
        <w:t>؛</w:t>
      </w:r>
    </w:p>
    <w:p w:rsidR="00402B2B" w:rsidRPr="004A0DD7" w:rsidRDefault="00402B2B" w:rsidP="00D3336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مُحَمَّدِ بْنِ عِ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ابْنِ مَحْبُوبٍ عَنْ هِشَامِ بْنِ سَالِمٍ عَنْ عَمَّارٍ السَّابَاطِ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 سَمِعْتُهُ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قُولُ إِنَّ الْحَدَّ لَا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ورَثُ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 تُورَثُ الدِّ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وَ الْمَالُ وَ الْعَقَارُ وَ لَ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مَنْ قَامَ بِهِ مِنَ الْوَرَثَةِ فَطَلَبَهُ فَهُوَ وَلِ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هُ وَ مَنْ تَرَ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هُ فَلَمْ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طْلُبْهُ فَلَا حَقَّ لَهُ وَ ذَلِ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مِثْلُ رَجُلٍ قَذَفَ رَجُلًا وَ لِلْمَقْذُوفِ أَخٌ فَإِنْ عَفَا عَنْهُ أَحَدُهُمَا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لِلْآخَرِ أَنْ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طْلُبَهُ بِحَقِّهِ لِأَنَّهَا أُمُّهُمَا جَمِ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عاً وَ الْعَفْوُ لَهُمَا جَمِ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عاً.» </w:t>
      </w:r>
      <w:r w:rsidRPr="004A0D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402B2B" w:rsidRPr="004A0DD7" w:rsidRDefault="00402B2B" w:rsidP="00D3336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750B24" w:rsidRPr="004A0DD7" w:rsidRDefault="00750B24" w:rsidP="00D33360">
      <w:pPr>
        <w:pStyle w:val="Heading4"/>
        <w:ind w:firstLine="0"/>
        <w:rPr>
          <w:rFonts w:ascii="IRBadr" w:hAnsi="IRBadr" w:cs="IRBadr"/>
          <w:rtl/>
        </w:rPr>
      </w:pPr>
      <w:bookmarkStart w:id="16" w:name="_Toc427448187"/>
      <w:r w:rsidRPr="004A0DD7">
        <w:rPr>
          <w:rFonts w:ascii="IRBadr" w:hAnsi="IRBadr" w:cs="IRBadr"/>
          <w:rtl/>
        </w:rPr>
        <w:lastRenderedPageBreak/>
        <w:t>بررسی روایت</w:t>
      </w:r>
      <w:bookmarkEnd w:id="16"/>
    </w:p>
    <w:p w:rsidR="00750B24" w:rsidRPr="004A0DD7" w:rsidRDefault="00750B24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 </w:t>
      </w:r>
      <w:r w:rsidR="00575C89" w:rsidRPr="004A0DD7">
        <w:rPr>
          <w:rFonts w:ascii="IRBadr" w:hAnsi="IRBadr" w:cs="IRBadr"/>
          <w:sz w:val="28"/>
          <w:szCs w:val="28"/>
          <w:rtl/>
        </w:rPr>
        <w:t>سند</w:t>
      </w:r>
      <w:r w:rsidRPr="004A0DD7">
        <w:rPr>
          <w:rFonts w:ascii="IRBadr" w:hAnsi="IRBadr" w:cs="IRBadr"/>
          <w:sz w:val="28"/>
          <w:szCs w:val="28"/>
          <w:rtl/>
        </w:rPr>
        <w:t xml:space="preserve"> این روایت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معتبر است، البته راجع</w:t>
      </w:r>
      <w:r w:rsidRPr="004A0DD7">
        <w:rPr>
          <w:rFonts w:ascii="IRBadr" w:hAnsi="IRBadr" w:cs="IRBadr"/>
          <w:sz w:val="28"/>
          <w:szCs w:val="28"/>
          <w:rtl/>
        </w:rPr>
        <w:t xml:space="preserve"> به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عمار که فتحی است بحثی </w:t>
      </w:r>
      <w:r w:rsidRPr="004A0DD7">
        <w:rPr>
          <w:rFonts w:ascii="IRBadr" w:hAnsi="IRBadr" w:cs="IRBadr"/>
          <w:sz w:val="28"/>
          <w:szCs w:val="28"/>
          <w:rtl/>
        </w:rPr>
        <w:t>وجود دارد،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ولی </w:t>
      </w:r>
      <w:r w:rsidR="00FA4FDF" w:rsidRPr="004A0DD7">
        <w:rPr>
          <w:rFonts w:ascii="IRBadr" w:hAnsi="IRBadr" w:cs="IRBadr"/>
          <w:sz w:val="28"/>
          <w:szCs w:val="28"/>
          <w:rtl/>
        </w:rPr>
        <w:t>موردقبول</w:t>
      </w:r>
      <w:r w:rsidRPr="004A0DD7">
        <w:rPr>
          <w:rFonts w:ascii="IRBadr" w:hAnsi="IRBadr" w:cs="IRBadr"/>
          <w:sz w:val="28"/>
          <w:szCs w:val="28"/>
          <w:rtl/>
        </w:rPr>
        <w:t xml:space="preserve"> است.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او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می‌گوید از امام </w:t>
      </w:r>
      <w:r w:rsidR="00FA4FDF" w:rsidRPr="004A0DD7">
        <w:rPr>
          <w:rFonts w:ascii="IRBadr" w:hAnsi="IRBadr" w:cs="IRBadr"/>
          <w:sz w:val="28"/>
          <w:szCs w:val="28"/>
          <w:rtl/>
        </w:rPr>
        <w:t>صادق (</w:t>
      </w:r>
      <w:r w:rsidRPr="004A0DD7">
        <w:rPr>
          <w:rFonts w:ascii="IRBadr" w:hAnsi="IRBadr" w:cs="IRBadr"/>
          <w:sz w:val="28"/>
          <w:szCs w:val="28"/>
          <w:rtl/>
        </w:rPr>
        <w:t>ع)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شنیدم که می‌فرمود، </w:t>
      </w:r>
      <w:r w:rsidRPr="004A0DD7">
        <w:rPr>
          <w:rFonts w:ascii="IRBadr" w:hAnsi="IRBadr" w:cs="IRBadr"/>
          <w:sz w:val="28"/>
          <w:szCs w:val="28"/>
          <w:rtl/>
        </w:rPr>
        <w:t xml:space="preserve">حد به ارث برده نمی‌شود، البته 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منظور </w:t>
      </w:r>
      <w:r w:rsidRPr="004A0DD7">
        <w:rPr>
          <w:rFonts w:ascii="IRBadr" w:hAnsi="IRBadr" w:cs="IRBadr"/>
          <w:sz w:val="28"/>
          <w:szCs w:val="28"/>
          <w:rtl/>
        </w:rPr>
        <w:t xml:space="preserve">از حد در 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اینجا حدی است که </w:t>
      </w:r>
      <w:r w:rsidR="00FA4FDF" w:rsidRPr="004A0DD7">
        <w:rPr>
          <w:rFonts w:ascii="IRBadr" w:hAnsi="IRBadr" w:cs="IRBadr"/>
          <w:sz w:val="28"/>
          <w:szCs w:val="28"/>
          <w:rtl/>
        </w:rPr>
        <w:t>حق‌الناس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باشد، </w:t>
      </w:r>
      <w:r w:rsidR="00FA4FDF" w:rsidRPr="004A0DD7">
        <w:rPr>
          <w:rFonts w:ascii="IRBadr" w:hAnsi="IRBadr" w:cs="IRBadr"/>
          <w:sz w:val="28"/>
          <w:szCs w:val="28"/>
          <w:rtl/>
        </w:rPr>
        <w:t>آن‌طور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که دیه و مال و عقار و اموال به ارث برده می‌شود، نمی‌گوید مطلقاً به ارث برده نمی‌شود.</w:t>
      </w:r>
      <w:r w:rsidRPr="004A0DD7">
        <w:rPr>
          <w:rFonts w:ascii="IRBadr" w:hAnsi="IRBadr" w:cs="IRBadr"/>
          <w:sz w:val="28"/>
          <w:szCs w:val="28"/>
          <w:rtl/>
        </w:rPr>
        <w:t xml:space="preserve"> بلکه امام</w:t>
      </w:r>
      <w:r w:rsidR="00575C89" w:rsidRPr="004A0DD7">
        <w:rPr>
          <w:rFonts w:ascii="IRBadr" w:hAnsi="IRBadr" w:cs="IRBadr"/>
          <w:sz w:val="28"/>
          <w:szCs w:val="28"/>
          <w:rtl/>
        </w:rPr>
        <w:t xml:space="preserve"> می‌گوید </w:t>
      </w:r>
      <w:r w:rsidRPr="004A0DD7">
        <w:rPr>
          <w:rFonts w:ascii="IRBadr" w:hAnsi="IRBadr" w:cs="IRBadr"/>
          <w:sz w:val="28"/>
          <w:szCs w:val="28"/>
          <w:rtl/>
        </w:rPr>
        <w:t>این مثلیت ارثی برقرار نیست.</w:t>
      </w:r>
    </w:p>
    <w:p w:rsidR="00B33253" w:rsidRPr="004A0DD7" w:rsidRDefault="00B33253" w:rsidP="00D33360">
      <w:pPr>
        <w:pStyle w:val="Heading4"/>
        <w:ind w:firstLine="0"/>
        <w:rPr>
          <w:rFonts w:ascii="IRBadr" w:hAnsi="IRBadr" w:cs="IRBadr"/>
          <w:rtl/>
        </w:rPr>
      </w:pPr>
      <w:bookmarkStart w:id="17" w:name="_Toc427448188"/>
      <w:r w:rsidRPr="004A0DD7">
        <w:rPr>
          <w:rFonts w:ascii="IRBadr" w:hAnsi="IRBadr" w:cs="IRBadr"/>
          <w:rtl/>
        </w:rPr>
        <w:t>روایت معارض</w:t>
      </w:r>
      <w:bookmarkEnd w:id="17"/>
    </w:p>
    <w:p w:rsidR="00B33253" w:rsidRPr="004A0DD7" w:rsidRDefault="00B33253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>در اینجا روایتی معارض با آنچه بیان شد وجود دارد که؛</w:t>
      </w:r>
    </w:p>
    <w:p w:rsidR="00402B2B" w:rsidRPr="004A0DD7" w:rsidRDefault="00402B2B" w:rsidP="00D3336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عَنْ أَبِ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اللّهِ 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علیه‌السلام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، قَالَ: «الْحَدُّ لَا</w:t>
      </w:r>
      <w:r w:rsidR="00FA4FDF"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ورَثُ» </w:t>
      </w:r>
      <w:r w:rsidRPr="004A0D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B33253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امام </w:t>
      </w:r>
      <w:r w:rsidR="00FA4FDF" w:rsidRPr="004A0DD7">
        <w:rPr>
          <w:rFonts w:ascii="IRBadr" w:hAnsi="IRBadr" w:cs="IRBadr"/>
          <w:sz w:val="28"/>
          <w:szCs w:val="28"/>
          <w:rtl/>
        </w:rPr>
        <w:t>صادق (</w:t>
      </w:r>
      <w:r w:rsidR="00B33253" w:rsidRPr="004A0DD7">
        <w:rPr>
          <w:rFonts w:ascii="IRBadr" w:hAnsi="IRBadr" w:cs="IRBadr"/>
          <w:sz w:val="28"/>
          <w:szCs w:val="28"/>
          <w:rtl/>
        </w:rPr>
        <w:t>ع)</w:t>
      </w:r>
      <w:r w:rsidRPr="004A0DD7">
        <w:rPr>
          <w:rFonts w:ascii="IRBadr" w:hAnsi="IRBadr" w:cs="IRBadr"/>
          <w:sz w:val="28"/>
          <w:szCs w:val="28"/>
          <w:rtl/>
        </w:rPr>
        <w:t xml:space="preserve"> 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همین یک جمله را </w:t>
      </w:r>
      <w:r w:rsidRPr="004A0DD7">
        <w:rPr>
          <w:rFonts w:ascii="IRBadr" w:hAnsi="IRBadr" w:cs="IRBadr"/>
          <w:sz w:val="28"/>
          <w:szCs w:val="28"/>
          <w:rtl/>
        </w:rPr>
        <w:t xml:space="preserve">فرمودند </w:t>
      </w:r>
      <w:r w:rsidR="00B33253" w:rsidRPr="004A0DD7">
        <w:rPr>
          <w:rFonts w:ascii="IRBadr" w:hAnsi="IRBadr" w:cs="IRBadr"/>
          <w:sz w:val="28"/>
          <w:szCs w:val="28"/>
          <w:rtl/>
        </w:rPr>
        <w:t>که حد</w:t>
      </w:r>
      <w:r w:rsidRPr="004A0DD7">
        <w:rPr>
          <w:rFonts w:ascii="IRBadr" w:hAnsi="IRBadr" w:cs="IRBadr"/>
          <w:sz w:val="28"/>
          <w:szCs w:val="28"/>
          <w:rtl/>
        </w:rPr>
        <w:t xml:space="preserve"> به ارث برده نمی‌شود.</w:t>
      </w:r>
    </w:p>
    <w:p w:rsidR="00B33253" w:rsidRPr="004A0DD7" w:rsidRDefault="00B33253" w:rsidP="00D33360">
      <w:pPr>
        <w:pStyle w:val="Heading4"/>
        <w:ind w:firstLine="0"/>
        <w:rPr>
          <w:rFonts w:ascii="IRBadr" w:hAnsi="IRBadr" w:cs="IRBadr"/>
          <w:rtl/>
        </w:rPr>
      </w:pPr>
      <w:bookmarkStart w:id="18" w:name="_Toc427448189"/>
      <w:r w:rsidRPr="004A0DD7">
        <w:rPr>
          <w:rFonts w:ascii="IRBadr" w:hAnsi="IRBadr" w:cs="IRBadr"/>
          <w:rtl/>
        </w:rPr>
        <w:t>جواب اول از شبهه فوق</w:t>
      </w:r>
      <w:bookmarkEnd w:id="18"/>
    </w:p>
    <w:p w:rsidR="00B33253" w:rsidRPr="004A0DD7" w:rsidRDefault="00B33253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جوابی که </w:t>
      </w:r>
      <w:r w:rsidR="00FA4FDF" w:rsidRPr="004A0DD7">
        <w:rPr>
          <w:rFonts w:ascii="IRBadr" w:hAnsi="IRBadr" w:cs="IRBadr"/>
          <w:sz w:val="28"/>
          <w:szCs w:val="28"/>
          <w:rtl/>
        </w:rPr>
        <w:t>می‌توان</w:t>
      </w:r>
      <w:r w:rsidRPr="004A0DD7">
        <w:rPr>
          <w:rFonts w:ascii="IRBadr" w:hAnsi="IRBadr" w:cs="IRBadr"/>
          <w:sz w:val="28"/>
          <w:szCs w:val="28"/>
          <w:rtl/>
        </w:rPr>
        <w:t xml:space="preserve"> از شبهه فوق داد،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بدین</w:t>
      </w:r>
      <w:r w:rsidRPr="004A0DD7">
        <w:rPr>
          <w:rFonts w:ascii="IRBadr" w:hAnsi="IRBadr" w:cs="IRBadr"/>
          <w:sz w:val="28"/>
          <w:szCs w:val="28"/>
          <w:rtl/>
        </w:rPr>
        <w:t xml:space="preserve"> نحو است که؛</w:t>
      </w:r>
    </w:p>
    <w:p w:rsidR="00B33253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ممکن است بگوییم </w:t>
      </w:r>
      <w:r w:rsidR="00B33253" w:rsidRPr="004A0DD7">
        <w:rPr>
          <w:rFonts w:ascii="IRBadr" w:hAnsi="IRBadr" w:cs="IRBadr"/>
          <w:sz w:val="28"/>
          <w:szCs w:val="28"/>
          <w:rtl/>
        </w:rPr>
        <w:t>این روایت</w:t>
      </w:r>
      <w:r w:rsidRPr="004A0DD7">
        <w:rPr>
          <w:rFonts w:ascii="IRBadr" w:hAnsi="IRBadr" w:cs="IRBadr"/>
          <w:sz w:val="28"/>
          <w:szCs w:val="28"/>
          <w:rtl/>
        </w:rPr>
        <w:t xml:space="preserve"> مطلق است، یعنی مطلق</w:t>
      </w:r>
      <w:r w:rsidR="00B33253" w:rsidRPr="004A0DD7">
        <w:rPr>
          <w:rFonts w:ascii="IRBadr" w:hAnsi="IRBadr" w:cs="IRBadr"/>
          <w:sz w:val="28"/>
          <w:szCs w:val="28"/>
          <w:rtl/>
        </w:rPr>
        <w:t>اً</w:t>
      </w:r>
      <w:r w:rsidRPr="004A0DD7">
        <w:rPr>
          <w:rFonts w:ascii="IRBadr" w:hAnsi="IRBadr" w:cs="IRBadr"/>
          <w:sz w:val="28"/>
          <w:szCs w:val="28"/>
          <w:rtl/>
        </w:rPr>
        <w:t xml:space="preserve"> حدود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 به</w:t>
      </w:r>
      <w:r w:rsidRPr="004A0DD7">
        <w:rPr>
          <w:rFonts w:ascii="IRBadr" w:hAnsi="IRBadr" w:cs="IRBadr"/>
          <w:sz w:val="28"/>
          <w:szCs w:val="28"/>
          <w:rtl/>
        </w:rPr>
        <w:t xml:space="preserve"> ارث برده نمی‌شود. 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روایات سابق </w:t>
      </w:r>
      <w:r w:rsidR="00FA4FDF" w:rsidRPr="004A0DD7">
        <w:rPr>
          <w:rFonts w:ascii="IRBadr" w:hAnsi="IRBadr" w:cs="IRBadr"/>
          <w:sz w:val="28"/>
          <w:szCs w:val="28"/>
          <w:rtl/>
        </w:rPr>
        <w:t>بیان‌شده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 در قبال قذف بود،</w:t>
      </w:r>
      <w:r w:rsidR="00FA4FDF" w:rsidRPr="004A0DD7">
        <w:rPr>
          <w:rFonts w:ascii="IRBadr" w:hAnsi="IRBadr" w:cs="IRBadr"/>
          <w:sz w:val="28"/>
          <w:szCs w:val="28"/>
          <w:rtl/>
        </w:rPr>
        <w:t xml:space="preserve"> لذا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 این روایت مقیدی برای </w:t>
      </w:r>
      <w:r w:rsidR="00FA4FDF" w:rsidRPr="004A0DD7">
        <w:rPr>
          <w:rFonts w:ascii="IRBadr" w:hAnsi="IRBadr" w:cs="IRBadr"/>
          <w:sz w:val="28"/>
          <w:szCs w:val="28"/>
          <w:rtl/>
        </w:rPr>
        <w:t>آن‌ها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 خواهد بود.</w:t>
      </w:r>
    </w:p>
    <w:p w:rsidR="00B33253" w:rsidRPr="004A0DD7" w:rsidRDefault="00B33253" w:rsidP="00D33360">
      <w:pPr>
        <w:pStyle w:val="Heading4"/>
        <w:ind w:firstLine="0"/>
        <w:rPr>
          <w:rFonts w:ascii="IRBadr" w:hAnsi="IRBadr" w:cs="IRBadr"/>
          <w:rtl/>
        </w:rPr>
      </w:pPr>
      <w:bookmarkStart w:id="19" w:name="_Toc427448190"/>
      <w:r w:rsidRPr="004A0DD7">
        <w:rPr>
          <w:rFonts w:ascii="IRBadr" w:hAnsi="IRBadr" w:cs="IRBadr"/>
          <w:rtl/>
        </w:rPr>
        <w:t>مناقشه در استدلال فوق</w:t>
      </w:r>
      <w:bookmarkEnd w:id="19"/>
    </w:p>
    <w:p w:rsidR="00B33253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این جواب قابل مناقشه است، برای اینکه ممکن است بگوییم </w:t>
      </w:r>
      <w:r w:rsidR="00B33253" w:rsidRPr="004A0DD7">
        <w:rPr>
          <w:rFonts w:ascii="IRBadr" w:hAnsi="IRBadr" w:cs="IRBadr"/>
          <w:sz w:val="28"/>
          <w:szCs w:val="28"/>
          <w:rtl/>
        </w:rPr>
        <w:t>روایت</w:t>
      </w:r>
      <w:r w:rsidRPr="004A0DD7">
        <w:rPr>
          <w:rFonts w:ascii="IRBadr" w:hAnsi="IRBadr" w:cs="IRBadr"/>
          <w:sz w:val="28"/>
          <w:szCs w:val="28"/>
          <w:rtl/>
        </w:rPr>
        <w:t xml:space="preserve"> به همه قیود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 اطلاق ندارد</w:t>
      </w:r>
      <w:r w:rsidRPr="004A0DD7">
        <w:rPr>
          <w:rFonts w:ascii="IRBadr" w:hAnsi="IRBadr" w:cs="IRBadr"/>
          <w:sz w:val="28"/>
          <w:szCs w:val="28"/>
          <w:rtl/>
        </w:rPr>
        <w:t xml:space="preserve">، </w:t>
      </w:r>
      <w:r w:rsidR="00D33360" w:rsidRPr="004A0DD7">
        <w:rPr>
          <w:rFonts w:ascii="IRBadr" w:hAnsi="IRBadr" w:cs="IRBadr"/>
          <w:sz w:val="28"/>
          <w:szCs w:val="28"/>
          <w:rtl/>
        </w:rPr>
        <w:t>بلکه</w:t>
      </w:r>
      <w:r w:rsidRPr="004A0DD7">
        <w:rPr>
          <w:rFonts w:ascii="IRBadr" w:hAnsi="IRBadr" w:cs="IRBadr"/>
          <w:sz w:val="28"/>
          <w:szCs w:val="28"/>
          <w:rtl/>
        </w:rPr>
        <w:t xml:space="preserve"> ظهور پیدا می‌کند در حدی که </w:t>
      </w:r>
      <w:r w:rsidR="00FA4FDF" w:rsidRPr="004A0DD7">
        <w:rPr>
          <w:rFonts w:ascii="IRBadr" w:hAnsi="IRBadr" w:cs="IRBadr"/>
          <w:sz w:val="28"/>
          <w:szCs w:val="28"/>
          <w:rtl/>
        </w:rPr>
        <w:t>حق‌الناس</w:t>
      </w:r>
      <w:r w:rsidRPr="004A0DD7">
        <w:rPr>
          <w:rFonts w:ascii="IRBadr" w:hAnsi="IRBadr" w:cs="IRBadr"/>
          <w:sz w:val="28"/>
          <w:szCs w:val="28"/>
          <w:rtl/>
        </w:rPr>
        <w:t xml:space="preserve"> است.</w:t>
      </w:r>
    </w:p>
    <w:p w:rsidR="00B33253" w:rsidRPr="004A0DD7" w:rsidRDefault="00B33253" w:rsidP="00D33360">
      <w:pPr>
        <w:pStyle w:val="Heading4"/>
        <w:ind w:firstLine="0"/>
        <w:rPr>
          <w:rFonts w:ascii="IRBadr" w:hAnsi="IRBadr" w:cs="IRBadr"/>
          <w:rtl/>
        </w:rPr>
      </w:pPr>
      <w:bookmarkStart w:id="20" w:name="_Toc427448191"/>
      <w:r w:rsidRPr="004A0DD7">
        <w:rPr>
          <w:rFonts w:ascii="IRBadr" w:hAnsi="IRBadr" w:cs="IRBadr"/>
          <w:rtl/>
        </w:rPr>
        <w:t>جواب دوم از شبهه</w:t>
      </w:r>
      <w:bookmarkEnd w:id="20"/>
    </w:p>
    <w:p w:rsidR="00B33253" w:rsidRPr="004A0DD7" w:rsidRDefault="00575C89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بله جواب دیگری از اشکال می‌شود داد که بگوییم منظور از حد اینجا همان حقوق الناس است. منتها باید بگوییم حقوق الناس </w:t>
      </w:r>
      <w:r w:rsidR="00B33253" w:rsidRPr="004A0DD7">
        <w:rPr>
          <w:rFonts w:ascii="IRBadr" w:hAnsi="IRBadr" w:cs="IRBadr"/>
          <w:sz w:val="28"/>
          <w:szCs w:val="28"/>
          <w:rtl/>
        </w:rPr>
        <w:t xml:space="preserve">معنای وسیعی دارد و مثلاً سرقت را نیز دربر </w:t>
      </w:r>
      <w:r w:rsidR="00FA4FDF" w:rsidRPr="004A0DD7">
        <w:rPr>
          <w:rFonts w:ascii="IRBadr" w:hAnsi="IRBadr" w:cs="IRBadr"/>
          <w:sz w:val="28"/>
          <w:szCs w:val="28"/>
          <w:rtl/>
        </w:rPr>
        <w:t>می‌گیرد</w:t>
      </w:r>
      <w:r w:rsidR="00B33253" w:rsidRPr="004A0DD7">
        <w:rPr>
          <w:rFonts w:ascii="IRBadr" w:hAnsi="IRBadr" w:cs="IRBadr"/>
          <w:sz w:val="28"/>
          <w:szCs w:val="28"/>
          <w:rtl/>
        </w:rPr>
        <w:t>.</w:t>
      </w:r>
    </w:p>
    <w:p w:rsidR="00B33253" w:rsidRPr="004A0DD7" w:rsidRDefault="00B33253" w:rsidP="00D33360">
      <w:pPr>
        <w:pStyle w:val="Heading4"/>
        <w:ind w:firstLine="0"/>
        <w:rPr>
          <w:rFonts w:ascii="IRBadr" w:hAnsi="IRBadr" w:cs="IRBadr"/>
          <w:rtl/>
        </w:rPr>
      </w:pPr>
      <w:bookmarkStart w:id="21" w:name="_Toc427448192"/>
      <w:r w:rsidRPr="004A0DD7">
        <w:rPr>
          <w:rFonts w:ascii="IRBadr" w:hAnsi="IRBadr" w:cs="IRBadr"/>
          <w:rtl/>
        </w:rPr>
        <w:t>مناقشه در استدلال فوق</w:t>
      </w:r>
      <w:bookmarkEnd w:id="21"/>
    </w:p>
    <w:p w:rsidR="00B33253" w:rsidRPr="004A0DD7" w:rsidRDefault="00B33253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 xml:space="preserve">این پاسخ نیز قابل دفاع نیست چراکه </w:t>
      </w:r>
      <w:r w:rsidR="00CB3EE8" w:rsidRPr="004A0DD7">
        <w:rPr>
          <w:rFonts w:ascii="IRBadr" w:hAnsi="IRBadr" w:cs="IRBadr"/>
          <w:sz w:val="28"/>
          <w:szCs w:val="28"/>
          <w:rtl/>
        </w:rPr>
        <w:t xml:space="preserve">مصداق بارز حقوق الناس قذف است و سرقت از آن خارج و محل اختلاف است پس قدر متیقن همان قذف باقی </w:t>
      </w:r>
      <w:r w:rsidR="00FA4FDF" w:rsidRPr="004A0DD7">
        <w:rPr>
          <w:rFonts w:ascii="IRBadr" w:hAnsi="IRBadr" w:cs="IRBadr"/>
          <w:sz w:val="28"/>
          <w:szCs w:val="28"/>
          <w:rtl/>
        </w:rPr>
        <w:t>می‌ماند</w:t>
      </w:r>
      <w:r w:rsidR="00CB3EE8" w:rsidRPr="004A0DD7">
        <w:rPr>
          <w:rFonts w:ascii="IRBadr" w:hAnsi="IRBadr" w:cs="IRBadr"/>
          <w:sz w:val="28"/>
          <w:szCs w:val="28"/>
          <w:rtl/>
        </w:rPr>
        <w:t>.</w:t>
      </w:r>
    </w:p>
    <w:p w:rsidR="002622FC" w:rsidRPr="004A0DD7" w:rsidRDefault="002622FC" w:rsidP="00D33360">
      <w:pPr>
        <w:pStyle w:val="Heading4"/>
        <w:ind w:firstLine="0"/>
        <w:rPr>
          <w:rFonts w:ascii="IRBadr" w:hAnsi="IRBadr" w:cs="IRBadr"/>
          <w:rtl/>
        </w:rPr>
      </w:pPr>
      <w:bookmarkStart w:id="22" w:name="_Toc427448193"/>
      <w:r w:rsidRPr="004A0DD7">
        <w:rPr>
          <w:rFonts w:ascii="IRBadr" w:hAnsi="IRBadr" w:cs="IRBadr"/>
          <w:rtl/>
        </w:rPr>
        <w:lastRenderedPageBreak/>
        <w:t>قابلیت معامله</w:t>
      </w:r>
      <w:bookmarkEnd w:id="22"/>
    </w:p>
    <w:p w:rsidR="002622FC" w:rsidRPr="004A0DD7" w:rsidRDefault="00FA4FDF" w:rsidP="00D33360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4A0DD7">
        <w:rPr>
          <w:rFonts w:ascii="IRBadr" w:hAnsi="IRBadr" w:cs="IRBadr"/>
          <w:sz w:val="28"/>
          <w:szCs w:val="28"/>
          <w:rtl/>
        </w:rPr>
        <w:t>ازجمله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آثار ثبوت </w:t>
      </w:r>
      <w:r w:rsidRPr="004A0DD7">
        <w:rPr>
          <w:rFonts w:ascii="IRBadr" w:hAnsi="IRBadr" w:cs="IRBadr"/>
          <w:sz w:val="28"/>
          <w:szCs w:val="28"/>
          <w:rtl/>
        </w:rPr>
        <w:t>حق‌الناس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بودن،</w:t>
      </w:r>
      <w:r w:rsidRPr="004A0DD7">
        <w:rPr>
          <w:rFonts w:ascii="IRBadr" w:hAnsi="IRBadr" w:cs="IRBadr"/>
          <w:sz w:val="28"/>
          <w:szCs w:val="28"/>
          <w:rtl/>
        </w:rPr>
        <w:t xml:space="preserve"> علاوه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بر موارد گذشته این است که قابلیت معامله نمودن در آن وجود دارد،</w:t>
      </w:r>
      <w:r w:rsidRPr="004A0DD7">
        <w:rPr>
          <w:rFonts w:ascii="IRBadr" w:hAnsi="IRBadr" w:cs="IRBadr"/>
          <w:sz w:val="28"/>
          <w:szCs w:val="28"/>
          <w:rtl/>
        </w:rPr>
        <w:t xml:space="preserve"> اما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نکته </w:t>
      </w:r>
      <w:r w:rsidRPr="004A0DD7">
        <w:rPr>
          <w:rFonts w:ascii="IRBadr" w:hAnsi="IRBadr" w:cs="IRBadr"/>
          <w:sz w:val="28"/>
          <w:szCs w:val="28"/>
          <w:rtl/>
        </w:rPr>
        <w:t>اساسی‌ای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که در اینجا باید ملحوظ باشد،</w:t>
      </w:r>
      <w:r w:rsidRPr="004A0DD7">
        <w:rPr>
          <w:rFonts w:ascii="IRBadr" w:hAnsi="IRBadr" w:cs="IRBadr"/>
          <w:sz w:val="28"/>
          <w:szCs w:val="28"/>
          <w:rtl/>
        </w:rPr>
        <w:t xml:space="preserve"> این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است که هرکدام از این آثار </w:t>
      </w:r>
      <w:r w:rsidRPr="004A0DD7">
        <w:rPr>
          <w:rFonts w:ascii="IRBadr" w:hAnsi="IRBadr" w:cs="IRBadr"/>
          <w:sz w:val="28"/>
          <w:szCs w:val="28"/>
          <w:rtl/>
        </w:rPr>
        <w:t>بیان‌شده</w:t>
      </w:r>
      <w:r w:rsidR="002622FC" w:rsidRPr="004A0DD7">
        <w:rPr>
          <w:rFonts w:ascii="IRBadr" w:hAnsi="IRBadr" w:cs="IRBadr"/>
          <w:sz w:val="28"/>
          <w:szCs w:val="28"/>
          <w:rtl/>
        </w:rPr>
        <w:t>،</w:t>
      </w:r>
      <w:r w:rsidRPr="004A0DD7">
        <w:rPr>
          <w:rFonts w:ascii="IRBadr" w:hAnsi="IRBadr" w:cs="IRBadr"/>
          <w:sz w:val="28"/>
          <w:szCs w:val="28"/>
          <w:rtl/>
        </w:rPr>
        <w:t xml:space="preserve"> باید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مستقلاً دلیل خاص خود را داشته باشد،</w:t>
      </w:r>
      <w:r w:rsidRPr="004A0DD7">
        <w:rPr>
          <w:rFonts w:ascii="IRBadr" w:hAnsi="IRBadr" w:cs="IRBadr"/>
          <w:sz w:val="28"/>
          <w:szCs w:val="28"/>
          <w:rtl/>
        </w:rPr>
        <w:t xml:space="preserve"> در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قبال سه اثر قبلی این دلیل موجود بود،</w:t>
      </w:r>
      <w:r w:rsidRPr="004A0DD7">
        <w:rPr>
          <w:rFonts w:ascii="IRBadr" w:hAnsi="IRBadr" w:cs="IRBadr"/>
          <w:sz w:val="28"/>
          <w:szCs w:val="28"/>
          <w:rtl/>
        </w:rPr>
        <w:t xml:space="preserve"> اما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در قبال این اثر دلیلی وجود ندارد،</w:t>
      </w:r>
      <w:r w:rsidRPr="004A0DD7">
        <w:rPr>
          <w:rFonts w:ascii="IRBadr" w:hAnsi="IRBadr" w:cs="IRBadr"/>
          <w:sz w:val="28"/>
          <w:szCs w:val="28"/>
          <w:rtl/>
        </w:rPr>
        <w:t xml:space="preserve"> یعنی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مقذوف </w:t>
      </w:r>
      <w:r w:rsidRPr="004A0DD7">
        <w:rPr>
          <w:rFonts w:ascii="IRBadr" w:hAnsi="IRBadr" w:cs="IRBadr"/>
          <w:sz w:val="28"/>
          <w:szCs w:val="28"/>
          <w:rtl/>
        </w:rPr>
        <w:t>نمی‌تواند</w:t>
      </w:r>
      <w:r w:rsidR="002622FC" w:rsidRPr="004A0DD7">
        <w:rPr>
          <w:rFonts w:ascii="IRBadr" w:hAnsi="IRBadr" w:cs="IRBadr"/>
          <w:sz w:val="28"/>
          <w:szCs w:val="28"/>
          <w:rtl/>
        </w:rPr>
        <w:t xml:space="preserve"> به قاذف بگوید که من حق خودم را به این قیمت به فروش </w:t>
      </w:r>
      <w:r w:rsidRPr="004A0DD7">
        <w:rPr>
          <w:rFonts w:ascii="IRBadr" w:hAnsi="IRBadr" w:cs="IRBadr"/>
          <w:sz w:val="28"/>
          <w:szCs w:val="28"/>
          <w:rtl/>
        </w:rPr>
        <w:t>می‌رسانم</w:t>
      </w:r>
      <w:r w:rsidR="002622FC" w:rsidRPr="004A0DD7">
        <w:rPr>
          <w:rFonts w:ascii="IRBadr" w:hAnsi="IRBadr" w:cs="IRBadr"/>
          <w:sz w:val="28"/>
          <w:szCs w:val="28"/>
          <w:rtl/>
        </w:rPr>
        <w:t>.</w:t>
      </w:r>
    </w:p>
    <w:p w:rsidR="00152670" w:rsidRPr="004A0DD7" w:rsidRDefault="00152670" w:rsidP="00D3336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4A0DD7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18A" w:rsidRDefault="00BE518A" w:rsidP="000D5800">
      <w:pPr>
        <w:spacing w:after="0" w:line="240" w:lineRule="auto"/>
      </w:pPr>
      <w:r>
        <w:separator/>
      </w:r>
    </w:p>
  </w:endnote>
  <w:endnote w:type="continuationSeparator" w:id="0">
    <w:p w:rsidR="00BE518A" w:rsidRDefault="00BE518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DF" w:rsidRDefault="00FA4F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24047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0E06" w:rsidRDefault="00C30E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DD7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FA4FDF" w:rsidRDefault="00FA4F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DF" w:rsidRDefault="00FA4F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18A" w:rsidRDefault="00BE518A" w:rsidP="00C30E06">
      <w:pPr>
        <w:bidi/>
        <w:spacing w:after="0" w:line="240" w:lineRule="auto"/>
      </w:pPr>
      <w:r>
        <w:separator/>
      </w:r>
    </w:p>
  </w:footnote>
  <w:footnote w:type="continuationSeparator" w:id="0">
    <w:p w:rsidR="00BE518A" w:rsidRDefault="00BE518A" w:rsidP="000D5800">
      <w:pPr>
        <w:spacing w:after="0" w:line="240" w:lineRule="auto"/>
      </w:pPr>
      <w:r>
        <w:continuationSeparator/>
      </w:r>
    </w:p>
  </w:footnote>
  <w:footnote w:id="1">
    <w:p w:rsidR="00FE6D6B" w:rsidRPr="004A0DD7" w:rsidRDefault="00FE6D6B">
      <w:pPr>
        <w:pStyle w:val="FootnoteText"/>
        <w:rPr>
          <w:rFonts w:ascii="IRBadr" w:hAnsi="IRBadr" w:cs="IRBadr"/>
          <w:b/>
          <w:bCs/>
          <w:rtl/>
        </w:rPr>
      </w:pPr>
      <w:bookmarkStart w:id="12" w:name="_GoBack"/>
      <w:r w:rsidRPr="004A0DD7">
        <w:rPr>
          <w:rStyle w:val="FootnoteReference"/>
          <w:rFonts w:ascii="IRBadr" w:hAnsi="IRBadr" w:cs="IRBadr"/>
          <w:b/>
          <w:bCs/>
        </w:rPr>
        <w:footnoteRef/>
      </w:r>
      <w:r w:rsidRPr="004A0DD7">
        <w:rPr>
          <w:rFonts w:ascii="IRBadr" w:hAnsi="IRBadr" w:cs="IRBadr"/>
          <w:b/>
          <w:bCs/>
          <w:rtl/>
        </w:rPr>
        <w:t xml:space="preserve"> 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ج 28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، ص: 196</w:t>
      </w:r>
    </w:p>
  </w:footnote>
  <w:footnote w:id="2">
    <w:p w:rsidR="00402B2B" w:rsidRPr="004A0DD7" w:rsidRDefault="00402B2B">
      <w:pPr>
        <w:pStyle w:val="FootnoteText"/>
        <w:rPr>
          <w:rFonts w:ascii="IRBadr" w:hAnsi="IRBadr" w:cs="IRBadr"/>
          <w:b/>
          <w:bCs/>
        </w:rPr>
      </w:pPr>
      <w:r w:rsidRPr="004A0DD7">
        <w:rPr>
          <w:rStyle w:val="FootnoteReference"/>
          <w:rFonts w:ascii="IRBadr" w:hAnsi="IRBadr" w:cs="IRBadr"/>
          <w:b/>
          <w:bCs/>
        </w:rPr>
        <w:footnoteRef/>
      </w:r>
      <w:r w:rsidRPr="004A0DD7">
        <w:rPr>
          <w:rFonts w:ascii="IRBadr" w:hAnsi="IRBadr" w:cs="IRBadr"/>
          <w:b/>
          <w:bCs/>
          <w:rtl/>
        </w:rPr>
        <w:t xml:space="preserve"> 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ال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اف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ج 7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، ص: 255</w:t>
      </w:r>
    </w:p>
  </w:footnote>
  <w:footnote w:id="3">
    <w:p w:rsidR="00402B2B" w:rsidRPr="004A0DD7" w:rsidRDefault="00402B2B">
      <w:pPr>
        <w:pStyle w:val="FootnoteText"/>
        <w:rPr>
          <w:rFonts w:ascii="IRBadr" w:hAnsi="IRBadr" w:cs="IRBadr"/>
          <w:b/>
          <w:bCs/>
        </w:rPr>
      </w:pPr>
      <w:r w:rsidRPr="004A0DD7">
        <w:rPr>
          <w:rStyle w:val="FootnoteReference"/>
          <w:rFonts w:ascii="IRBadr" w:hAnsi="IRBadr" w:cs="IRBadr"/>
          <w:b/>
          <w:bCs/>
        </w:rPr>
        <w:footnoteRef/>
      </w:r>
      <w:r w:rsidRPr="004A0DD7">
        <w:rPr>
          <w:rFonts w:ascii="IRBadr" w:hAnsi="IRBadr" w:cs="IRBadr"/>
          <w:b/>
          <w:bCs/>
          <w:rtl/>
        </w:rPr>
        <w:t xml:space="preserve"> 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ال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ک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اف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 xml:space="preserve"> (ط - دار الحد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ی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 xml:space="preserve">ث)؛ </w:t>
      </w:r>
      <w:r w:rsidR="00FA4FDF" w:rsidRPr="004A0DD7">
        <w:rPr>
          <w:rFonts w:ascii="IRBadr" w:hAnsi="IRBadr" w:cs="IRBadr"/>
          <w:b/>
          <w:bCs/>
          <w:color w:val="000000" w:themeColor="text1"/>
          <w:rtl/>
        </w:rPr>
        <w:t>ج 14</w:t>
      </w:r>
      <w:r w:rsidRPr="004A0DD7">
        <w:rPr>
          <w:rFonts w:ascii="IRBadr" w:hAnsi="IRBadr" w:cs="IRBadr"/>
          <w:b/>
          <w:bCs/>
          <w:color w:val="000000" w:themeColor="text1"/>
          <w:rtl/>
        </w:rPr>
        <w:t>، ص: 229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DF" w:rsidRDefault="00FA4F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575C89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4EA6E56" wp14:editId="30978DE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FDCC3A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3" w:name="OLE_LINK1"/>
    <w:bookmarkStart w:id="24" w:name="OLE_LINK2"/>
    <w:r>
      <w:rPr>
        <w:noProof/>
        <w:lang w:bidi="fa-IR"/>
      </w:rPr>
      <w:drawing>
        <wp:inline distT="0" distB="0" distL="0" distR="0" wp14:anchorId="412C3E72" wp14:editId="59647F98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3"/>
    <w:bookmarkEnd w:id="24"/>
    <w:r w:rsidR="00FA4FD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75C89">
      <w:rPr>
        <w:rFonts w:ascii="IranNastaliq" w:hAnsi="IranNastaliq" w:cs="IranNastaliq" w:hint="cs"/>
        <w:sz w:val="40"/>
        <w:szCs w:val="40"/>
        <w:rtl/>
      </w:rPr>
      <w:t>813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DF" w:rsidRDefault="00FA4F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89"/>
    <w:rsid w:val="000228A2"/>
    <w:rsid w:val="00030181"/>
    <w:rsid w:val="000324F1"/>
    <w:rsid w:val="00041FE0"/>
    <w:rsid w:val="00052BA3"/>
    <w:rsid w:val="0006363E"/>
    <w:rsid w:val="00063C2F"/>
    <w:rsid w:val="00080DFF"/>
    <w:rsid w:val="00085ED5"/>
    <w:rsid w:val="000A1A51"/>
    <w:rsid w:val="000D2D0D"/>
    <w:rsid w:val="000D5800"/>
    <w:rsid w:val="000F1897"/>
    <w:rsid w:val="000F6B53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22FC"/>
    <w:rsid w:val="00270294"/>
    <w:rsid w:val="002914BD"/>
    <w:rsid w:val="00297263"/>
    <w:rsid w:val="002C56FD"/>
    <w:rsid w:val="002D49E4"/>
    <w:rsid w:val="002E450B"/>
    <w:rsid w:val="002E73F9"/>
    <w:rsid w:val="002F05B9"/>
    <w:rsid w:val="00303EC2"/>
    <w:rsid w:val="00340BA3"/>
    <w:rsid w:val="00361142"/>
    <w:rsid w:val="00366400"/>
    <w:rsid w:val="003963D7"/>
    <w:rsid w:val="00396F28"/>
    <w:rsid w:val="003A1A05"/>
    <w:rsid w:val="003A2654"/>
    <w:rsid w:val="003B73B5"/>
    <w:rsid w:val="003C06BF"/>
    <w:rsid w:val="003C7899"/>
    <w:rsid w:val="003D2F0A"/>
    <w:rsid w:val="003D563F"/>
    <w:rsid w:val="003E1E58"/>
    <w:rsid w:val="00402B2B"/>
    <w:rsid w:val="00405199"/>
    <w:rsid w:val="00410699"/>
    <w:rsid w:val="00415360"/>
    <w:rsid w:val="0044591E"/>
    <w:rsid w:val="004651D2"/>
    <w:rsid w:val="00465D26"/>
    <w:rsid w:val="004679F8"/>
    <w:rsid w:val="004A0DD7"/>
    <w:rsid w:val="004B337F"/>
    <w:rsid w:val="004F3596"/>
    <w:rsid w:val="00564F29"/>
    <w:rsid w:val="00572E2D"/>
    <w:rsid w:val="00575C89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538E3"/>
    <w:rsid w:val="0066229C"/>
    <w:rsid w:val="0069696C"/>
    <w:rsid w:val="006A085A"/>
    <w:rsid w:val="006D3A87"/>
    <w:rsid w:val="006F01B4"/>
    <w:rsid w:val="006F29FA"/>
    <w:rsid w:val="007200DD"/>
    <w:rsid w:val="00734D59"/>
    <w:rsid w:val="0073609B"/>
    <w:rsid w:val="00750B24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0878"/>
    <w:rsid w:val="00844860"/>
    <w:rsid w:val="00845CC4"/>
    <w:rsid w:val="008644F4"/>
    <w:rsid w:val="00883733"/>
    <w:rsid w:val="008965D2"/>
    <w:rsid w:val="008A236D"/>
    <w:rsid w:val="008B565A"/>
    <w:rsid w:val="008C3414"/>
    <w:rsid w:val="008D299C"/>
    <w:rsid w:val="008D36D5"/>
    <w:rsid w:val="008E3903"/>
    <w:rsid w:val="008F63E3"/>
    <w:rsid w:val="00913C3B"/>
    <w:rsid w:val="00915509"/>
    <w:rsid w:val="00925FC7"/>
    <w:rsid w:val="00927388"/>
    <w:rsid w:val="009274FE"/>
    <w:rsid w:val="009401AC"/>
    <w:rsid w:val="009613AC"/>
    <w:rsid w:val="00980643"/>
    <w:rsid w:val="00984A4E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67F2"/>
    <w:rsid w:val="00A725C2"/>
    <w:rsid w:val="00A769EE"/>
    <w:rsid w:val="00A810A5"/>
    <w:rsid w:val="00A9616A"/>
    <w:rsid w:val="00A96F68"/>
    <w:rsid w:val="00AA2342"/>
    <w:rsid w:val="00AD0304"/>
    <w:rsid w:val="00AD27BE"/>
    <w:rsid w:val="00AE1C81"/>
    <w:rsid w:val="00AF0F1A"/>
    <w:rsid w:val="00B04FF2"/>
    <w:rsid w:val="00B15027"/>
    <w:rsid w:val="00B21CF4"/>
    <w:rsid w:val="00B24300"/>
    <w:rsid w:val="00B33253"/>
    <w:rsid w:val="00B63F15"/>
    <w:rsid w:val="00B80874"/>
    <w:rsid w:val="00BB5F7E"/>
    <w:rsid w:val="00BC26F6"/>
    <w:rsid w:val="00BC4833"/>
    <w:rsid w:val="00BD3122"/>
    <w:rsid w:val="00BD40DA"/>
    <w:rsid w:val="00BE518A"/>
    <w:rsid w:val="00BE7C7E"/>
    <w:rsid w:val="00BF3D67"/>
    <w:rsid w:val="00C160AF"/>
    <w:rsid w:val="00C22299"/>
    <w:rsid w:val="00C25609"/>
    <w:rsid w:val="00C262D7"/>
    <w:rsid w:val="00C26607"/>
    <w:rsid w:val="00C30E06"/>
    <w:rsid w:val="00C60D75"/>
    <w:rsid w:val="00C64CEA"/>
    <w:rsid w:val="00C73012"/>
    <w:rsid w:val="00C763DD"/>
    <w:rsid w:val="00C84FC0"/>
    <w:rsid w:val="00C9244A"/>
    <w:rsid w:val="00CB0D08"/>
    <w:rsid w:val="00CB3EE8"/>
    <w:rsid w:val="00CB5DA3"/>
    <w:rsid w:val="00CE31E6"/>
    <w:rsid w:val="00CE3B74"/>
    <w:rsid w:val="00CF0156"/>
    <w:rsid w:val="00CF42E2"/>
    <w:rsid w:val="00CF7916"/>
    <w:rsid w:val="00D158F3"/>
    <w:rsid w:val="00D16616"/>
    <w:rsid w:val="00D33360"/>
    <w:rsid w:val="00D3665C"/>
    <w:rsid w:val="00D508CC"/>
    <w:rsid w:val="00D50F4B"/>
    <w:rsid w:val="00D60547"/>
    <w:rsid w:val="00D60CE8"/>
    <w:rsid w:val="00D66444"/>
    <w:rsid w:val="00D76353"/>
    <w:rsid w:val="00D84A07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0A05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4DEC"/>
    <w:rsid w:val="00F67976"/>
    <w:rsid w:val="00F70BE1"/>
    <w:rsid w:val="00FA4FDF"/>
    <w:rsid w:val="00FC0862"/>
    <w:rsid w:val="00FC70FB"/>
    <w:rsid w:val="00FD143D"/>
    <w:rsid w:val="00FE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75C8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538E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538E3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E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E6D6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0E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75C8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538E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538E3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E6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E6D6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0E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DF648-0E47-4EBB-A9B9-3581465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407</TotalTime>
  <Pages>7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37</cp:revision>
  <dcterms:created xsi:type="dcterms:W3CDTF">2014-12-22T03:59:00Z</dcterms:created>
  <dcterms:modified xsi:type="dcterms:W3CDTF">2015-07-27T20:57:00Z</dcterms:modified>
</cp:coreProperties>
</file>